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B34F0" w14:textId="77777777" w:rsidR="00EF22FC" w:rsidRDefault="00EF22FC" w:rsidP="00EF22FC">
      <w:pPr>
        <w:rPr>
          <w:rFonts w:ascii="Comic Sans MS" w:hAnsi="Comic Sans MS"/>
          <w:sz w:val="16"/>
          <w:szCs w:val="16"/>
        </w:rPr>
      </w:pPr>
    </w:p>
    <w:p w14:paraId="2DBAB481" w14:textId="77777777" w:rsidR="00EF22FC" w:rsidRPr="00B17252" w:rsidRDefault="00EF22FC" w:rsidP="00EF22FC">
      <w:pPr>
        <w:jc w:val="center"/>
        <w:rPr>
          <w:rFonts w:ascii="Comic Sans MS" w:hAnsi="Comic Sans MS"/>
          <w:sz w:val="16"/>
          <w:szCs w:val="16"/>
        </w:rPr>
      </w:pPr>
      <w:r w:rsidRPr="00B17252">
        <w:rPr>
          <w:rFonts w:ascii="Comic Sans MS" w:hAnsi="Comic Sans MS"/>
          <w:sz w:val="16"/>
          <w:szCs w:val="16"/>
        </w:rPr>
        <w:t>REPUBLIKA HRVATSKA</w:t>
      </w:r>
    </w:p>
    <w:p w14:paraId="6EAB801E" w14:textId="77777777" w:rsidR="00EF22FC" w:rsidRPr="00B17252" w:rsidRDefault="00EF22FC" w:rsidP="00EF22FC">
      <w:pPr>
        <w:jc w:val="center"/>
        <w:rPr>
          <w:rFonts w:ascii="Comic Sans MS" w:hAnsi="Comic Sans MS"/>
          <w:sz w:val="16"/>
          <w:szCs w:val="16"/>
        </w:rPr>
      </w:pPr>
      <w:r w:rsidRPr="00B17252">
        <w:rPr>
          <w:rFonts w:ascii="Comic Sans MS" w:hAnsi="Comic Sans MS"/>
          <w:sz w:val="16"/>
          <w:szCs w:val="16"/>
        </w:rPr>
        <w:t>MINISTARSTVO ZNANOSTI,  OBRAZOVANJA I MLADIH</w:t>
      </w:r>
    </w:p>
    <w:p w14:paraId="445EF523" w14:textId="77777777" w:rsidR="00EF22FC" w:rsidRPr="00B17252" w:rsidRDefault="00EF22FC" w:rsidP="00EF22FC">
      <w:pPr>
        <w:jc w:val="center"/>
        <w:rPr>
          <w:rFonts w:ascii="Comic Sans MS" w:hAnsi="Comic Sans MS"/>
          <w:sz w:val="16"/>
          <w:szCs w:val="16"/>
        </w:rPr>
      </w:pPr>
      <w:r w:rsidRPr="00B17252">
        <w:rPr>
          <w:rFonts w:ascii="Comic Sans MS" w:hAnsi="Comic Sans MS"/>
          <w:sz w:val="16"/>
          <w:szCs w:val="16"/>
        </w:rPr>
        <w:t>PRIMORSKO-GORANSKA ŽUPANIJA</w:t>
      </w:r>
    </w:p>
    <w:p w14:paraId="09EF0B79" w14:textId="77777777" w:rsidR="00EF22FC" w:rsidRPr="00B17252" w:rsidRDefault="00EF22FC" w:rsidP="00EF22FC">
      <w:pPr>
        <w:jc w:val="center"/>
        <w:rPr>
          <w:rFonts w:ascii="Comic Sans MS" w:hAnsi="Comic Sans MS"/>
          <w:b/>
        </w:rPr>
      </w:pPr>
      <w:r w:rsidRPr="00B17252">
        <w:rPr>
          <w:rFonts w:ascii="Comic Sans MS" w:hAnsi="Comic Sans MS"/>
          <w:b/>
        </w:rPr>
        <w:t>OSNOVNA ŠKOLA «DR. ANDRIJA MOHOROVIČIĆ»</w:t>
      </w:r>
    </w:p>
    <w:p w14:paraId="3297C692" w14:textId="77777777" w:rsidR="00EF22FC" w:rsidRPr="00B17252" w:rsidRDefault="00EF22FC" w:rsidP="00EF22FC">
      <w:pPr>
        <w:jc w:val="center"/>
        <w:rPr>
          <w:rFonts w:ascii="Comic Sans MS" w:hAnsi="Comic Sans MS"/>
          <w:sz w:val="20"/>
          <w:szCs w:val="20"/>
        </w:rPr>
      </w:pPr>
      <w:r w:rsidRPr="00B17252">
        <w:rPr>
          <w:rFonts w:ascii="Comic Sans MS" w:hAnsi="Comic Sans MS"/>
          <w:sz w:val="20"/>
          <w:szCs w:val="20"/>
        </w:rPr>
        <w:t>51211 MATULJI,</w:t>
      </w:r>
    </w:p>
    <w:p w14:paraId="03A9AFED" w14:textId="77777777" w:rsidR="00EF22FC" w:rsidRPr="000907AF" w:rsidRDefault="00EF22FC" w:rsidP="00EF22FC">
      <w:pPr>
        <w:pBdr>
          <w:bottom w:val="single" w:sz="12" w:space="1" w:color="auto"/>
        </w:pBdr>
        <w:jc w:val="center"/>
        <w:rPr>
          <w:rFonts w:ascii="Comic Sans MS" w:hAnsi="Comic Sans MS"/>
          <w:sz w:val="16"/>
          <w:szCs w:val="16"/>
        </w:rPr>
      </w:pPr>
      <w:r w:rsidRPr="00B17252">
        <w:rPr>
          <w:rFonts w:ascii="Comic Sans MS" w:hAnsi="Comic Sans MS"/>
          <w:sz w:val="16"/>
          <w:szCs w:val="16"/>
        </w:rPr>
        <w:t>Šetalište Drage Gervaisa 2</w:t>
      </w:r>
    </w:p>
    <w:p w14:paraId="1FCEC541" w14:textId="77777777" w:rsidR="00EF22FC" w:rsidRDefault="00EF22FC" w:rsidP="00EF22FC">
      <w:pPr>
        <w:pStyle w:val="Zaglavlje"/>
      </w:pPr>
    </w:p>
    <w:p w14:paraId="4F1BA5CB" w14:textId="77777777" w:rsidR="00406974" w:rsidRDefault="00406974" w:rsidP="00406974">
      <w:pPr>
        <w:ind w:right="515"/>
        <w:rPr>
          <w:rFonts w:ascii="Arial" w:hAnsi="Arial" w:cs="Arial"/>
          <w:b/>
          <w:sz w:val="24"/>
        </w:rPr>
      </w:pPr>
    </w:p>
    <w:p w14:paraId="742FD769" w14:textId="77777777" w:rsidR="00406974" w:rsidRDefault="00406974" w:rsidP="001808AE">
      <w:pPr>
        <w:ind w:right="515"/>
        <w:jc w:val="center"/>
        <w:rPr>
          <w:rFonts w:ascii="Arial" w:hAnsi="Arial" w:cs="Arial"/>
          <w:b/>
          <w:sz w:val="24"/>
        </w:rPr>
      </w:pPr>
    </w:p>
    <w:p w14:paraId="4299C1F0" w14:textId="77777777" w:rsidR="00EF22FC" w:rsidRDefault="00406974" w:rsidP="00406974">
      <w:pPr>
        <w:ind w:right="515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</w:p>
    <w:p w14:paraId="0980C326" w14:textId="77777777" w:rsidR="00EF22FC" w:rsidRDefault="00EF22FC" w:rsidP="00406974">
      <w:pPr>
        <w:ind w:right="515"/>
        <w:rPr>
          <w:rFonts w:ascii="Arial" w:hAnsi="Arial" w:cs="Arial"/>
          <w:b/>
          <w:sz w:val="24"/>
        </w:rPr>
      </w:pPr>
    </w:p>
    <w:p w14:paraId="1E7520D8" w14:textId="1FB1F7EB" w:rsidR="001808AE" w:rsidRDefault="00406974" w:rsidP="00406974">
      <w:pPr>
        <w:ind w:right="515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FE6FD9">
        <w:rPr>
          <w:rFonts w:ascii="Arial" w:hAnsi="Arial" w:cs="Arial"/>
          <w:b/>
          <w:sz w:val="24"/>
        </w:rPr>
        <w:t xml:space="preserve">OBRAZLOŽENJE UZ </w:t>
      </w:r>
      <w:r w:rsidR="0095777C">
        <w:rPr>
          <w:rFonts w:ascii="Arial" w:hAnsi="Arial" w:cs="Arial"/>
          <w:b/>
          <w:sz w:val="24"/>
        </w:rPr>
        <w:t>I</w:t>
      </w:r>
      <w:r w:rsidR="001808AE" w:rsidRPr="001808AE">
        <w:rPr>
          <w:rFonts w:ascii="Arial" w:hAnsi="Arial" w:cs="Arial"/>
          <w:b/>
          <w:sz w:val="24"/>
        </w:rPr>
        <w:t>. IZMJENE I DOPUNE FINANCIJSKOG PLANA</w:t>
      </w:r>
    </w:p>
    <w:p w14:paraId="46FA6245" w14:textId="77777777" w:rsidR="00073378" w:rsidRDefault="00073378" w:rsidP="00073378">
      <w:pPr>
        <w:ind w:right="515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OSNOVNE ŠKOLE „DR. ANDRIJA MOHOROVIČIĆ “ MATULJI </w:t>
      </w:r>
    </w:p>
    <w:p w14:paraId="701946A6" w14:textId="7B4CEC94" w:rsidR="001808AE" w:rsidRPr="001808AE" w:rsidRDefault="00FE6FD9" w:rsidP="00073378">
      <w:pPr>
        <w:ind w:right="515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 202</w:t>
      </w:r>
      <w:r w:rsidR="00947F5B">
        <w:rPr>
          <w:rFonts w:ascii="Arial" w:hAnsi="Arial" w:cs="Arial"/>
          <w:b/>
          <w:sz w:val="24"/>
        </w:rPr>
        <w:t>6</w:t>
      </w:r>
      <w:r w:rsidR="001808AE" w:rsidRPr="001808AE">
        <w:rPr>
          <w:rFonts w:ascii="Arial" w:hAnsi="Arial" w:cs="Arial"/>
          <w:b/>
          <w:sz w:val="24"/>
        </w:rPr>
        <w:t>. GODINU</w:t>
      </w:r>
    </w:p>
    <w:p w14:paraId="14B84645" w14:textId="77777777" w:rsidR="001808AE" w:rsidRDefault="001808AE" w:rsidP="001808AE">
      <w:pPr>
        <w:pStyle w:val="Odlomakpopisa"/>
        <w:ind w:right="515"/>
        <w:rPr>
          <w:rFonts w:ascii="Arial" w:hAnsi="Arial" w:cs="Arial"/>
          <w:szCs w:val="22"/>
        </w:rPr>
      </w:pPr>
    </w:p>
    <w:p w14:paraId="7C6C7132" w14:textId="2DBA26BF" w:rsidR="001808AE" w:rsidRDefault="001808AE" w:rsidP="001808AE">
      <w:pPr>
        <w:pStyle w:val="Odlomakpopisa"/>
        <w:ind w:right="515"/>
        <w:rPr>
          <w:rFonts w:ascii="Arial" w:hAnsi="Arial" w:cs="Arial"/>
          <w:szCs w:val="22"/>
        </w:rPr>
      </w:pPr>
    </w:p>
    <w:p w14:paraId="596D2E46" w14:textId="77777777" w:rsidR="00406974" w:rsidRDefault="00406974" w:rsidP="001808AE">
      <w:pPr>
        <w:pStyle w:val="Odlomakpopisa"/>
        <w:ind w:right="515"/>
        <w:rPr>
          <w:rFonts w:ascii="Arial" w:hAnsi="Arial" w:cs="Arial"/>
          <w:szCs w:val="22"/>
        </w:rPr>
      </w:pPr>
    </w:p>
    <w:p w14:paraId="673F8AD7" w14:textId="77777777" w:rsidR="00E002E2" w:rsidRPr="00CB71AB" w:rsidRDefault="00E002E2" w:rsidP="000252CF">
      <w:pPr>
        <w:pStyle w:val="Odlomakpopisa"/>
        <w:numPr>
          <w:ilvl w:val="0"/>
          <w:numId w:val="4"/>
        </w:numPr>
        <w:ind w:right="515"/>
        <w:rPr>
          <w:rFonts w:ascii="Arial" w:hAnsi="Arial" w:cs="Arial"/>
          <w:szCs w:val="22"/>
        </w:rPr>
      </w:pPr>
      <w:r w:rsidRPr="00CB71AB">
        <w:rPr>
          <w:rFonts w:ascii="Arial" w:hAnsi="Arial" w:cs="Arial"/>
          <w:szCs w:val="22"/>
        </w:rPr>
        <w:t>PRAVNI OSNOV</w:t>
      </w:r>
    </w:p>
    <w:p w14:paraId="0BBE47BB" w14:textId="77777777" w:rsidR="006570F7" w:rsidRPr="00CB71AB" w:rsidRDefault="006570F7" w:rsidP="00F97B4C">
      <w:pPr>
        <w:ind w:right="515"/>
        <w:jc w:val="both"/>
        <w:rPr>
          <w:rFonts w:ascii="Arial" w:hAnsi="Arial" w:cs="Arial"/>
          <w:szCs w:val="22"/>
        </w:rPr>
      </w:pPr>
    </w:p>
    <w:p w14:paraId="1DD27A72" w14:textId="5B687654" w:rsidR="00A243F8" w:rsidRPr="00C90EB5" w:rsidRDefault="00436838" w:rsidP="00436838">
      <w:pPr>
        <w:ind w:right="515"/>
        <w:jc w:val="both"/>
        <w:rPr>
          <w:rFonts w:ascii="Arial" w:hAnsi="Arial" w:cs="Arial"/>
          <w:szCs w:val="22"/>
        </w:rPr>
      </w:pPr>
      <w:r w:rsidRPr="00CB71AB">
        <w:rPr>
          <w:rFonts w:ascii="Arial" w:hAnsi="Arial" w:cs="Arial"/>
          <w:szCs w:val="22"/>
        </w:rPr>
        <w:t xml:space="preserve">Sukladno članku </w:t>
      </w:r>
      <w:r w:rsidR="00907568" w:rsidRPr="00CB71AB">
        <w:rPr>
          <w:rFonts w:ascii="Arial" w:hAnsi="Arial" w:cs="Arial"/>
          <w:szCs w:val="22"/>
        </w:rPr>
        <w:t>219</w:t>
      </w:r>
      <w:r w:rsidRPr="00CB71AB">
        <w:rPr>
          <w:rFonts w:ascii="Arial" w:hAnsi="Arial" w:cs="Arial"/>
          <w:szCs w:val="22"/>
        </w:rPr>
        <w:t xml:space="preserve">. Statuta </w:t>
      </w:r>
      <w:r w:rsidR="00907568" w:rsidRPr="00CB71AB">
        <w:rPr>
          <w:rFonts w:ascii="Arial" w:hAnsi="Arial" w:cs="Arial"/>
          <w:szCs w:val="22"/>
        </w:rPr>
        <w:t>Osnovne škole „</w:t>
      </w:r>
      <w:proofErr w:type="spellStart"/>
      <w:r w:rsidR="00907568" w:rsidRPr="00CB71AB">
        <w:rPr>
          <w:rFonts w:ascii="Arial" w:hAnsi="Arial" w:cs="Arial"/>
          <w:szCs w:val="22"/>
        </w:rPr>
        <w:t>Dr.Andrija</w:t>
      </w:r>
      <w:proofErr w:type="spellEnd"/>
      <w:r w:rsidR="00907568" w:rsidRPr="00CB71AB">
        <w:rPr>
          <w:rFonts w:ascii="Arial" w:hAnsi="Arial" w:cs="Arial"/>
          <w:szCs w:val="22"/>
        </w:rPr>
        <w:t xml:space="preserve"> Mohorovičić“ Matulji</w:t>
      </w:r>
      <w:r w:rsidRPr="00CB71AB">
        <w:rPr>
          <w:rFonts w:ascii="Arial" w:hAnsi="Arial" w:cs="Arial"/>
          <w:szCs w:val="22"/>
        </w:rPr>
        <w:t xml:space="preserve">, propisano </w:t>
      </w:r>
      <w:r w:rsidR="00907568" w:rsidRPr="00CB71AB">
        <w:rPr>
          <w:rFonts w:ascii="Arial" w:hAnsi="Arial" w:cs="Arial"/>
          <w:szCs w:val="22"/>
        </w:rPr>
        <w:t xml:space="preserve">je </w:t>
      </w:r>
      <w:r w:rsidRPr="00CB71AB">
        <w:rPr>
          <w:rFonts w:ascii="Arial" w:hAnsi="Arial" w:cs="Arial"/>
          <w:szCs w:val="22"/>
        </w:rPr>
        <w:t>da Školski odbor, na prijedlog ravnatelja, donosi Financijski plan.</w:t>
      </w:r>
    </w:p>
    <w:p w14:paraId="2EB03305" w14:textId="77777777" w:rsidR="006570F7" w:rsidRPr="00C90EB5" w:rsidRDefault="006570F7" w:rsidP="00436838">
      <w:pPr>
        <w:ind w:right="515"/>
        <w:jc w:val="both"/>
        <w:rPr>
          <w:rFonts w:ascii="Arial" w:hAnsi="Arial" w:cs="Arial"/>
          <w:szCs w:val="22"/>
        </w:rPr>
      </w:pPr>
    </w:p>
    <w:p w14:paraId="38A204DC" w14:textId="77777777" w:rsidR="00A243F8" w:rsidRPr="00C90EB5" w:rsidRDefault="00A243F8" w:rsidP="00EF22FC">
      <w:pPr>
        <w:ind w:right="515"/>
        <w:jc w:val="both"/>
        <w:rPr>
          <w:rFonts w:ascii="Arial" w:hAnsi="Arial" w:cs="Arial"/>
          <w:szCs w:val="22"/>
        </w:rPr>
      </w:pPr>
      <w:r w:rsidRPr="00C90EB5">
        <w:rPr>
          <w:rFonts w:ascii="Arial" w:hAnsi="Arial" w:cs="Arial"/>
          <w:szCs w:val="22"/>
        </w:rPr>
        <w:t>OBRAZLOŽENJE</w:t>
      </w:r>
    </w:p>
    <w:p w14:paraId="3AA12EAF" w14:textId="77777777" w:rsidR="006570F7" w:rsidRPr="00C90EB5" w:rsidRDefault="006570F7" w:rsidP="00F97B4C">
      <w:pPr>
        <w:ind w:right="515"/>
        <w:jc w:val="both"/>
        <w:rPr>
          <w:rFonts w:ascii="Arial" w:hAnsi="Arial" w:cs="Arial"/>
          <w:szCs w:val="22"/>
        </w:rPr>
      </w:pPr>
    </w:p>
    <w:p w14:paraId="3BD50A16" w14:textId="6F7FD7F2" w:rsidR="0001512B" w:rsidRPr="00EF22FC" w:rsidRDefault="0001512B" w:rsidP="00EF22FC">
      <w:pPr>
        <w:ind w:right="515"/>
        <w:jc w:val="both"/>
        <w:rPr>
          <w:rFonts w:ascii="Arial" w:hAnsi="Arial" w:cs="Arial"/>
          <w:szCs w:val="22"/>
        </w:rPr>
      </w:pPr>
      <w:r w:rsidRPr="002845C0">
        <w:rPr>
          <w:rFonts w:ascii="Arial" w:hAnsi="Arial" w:cs="Arial"/>
          <w:szCs w:val="22"/>
        </w:rPr>
        <w:t>Plan prihoda Škole za 202</w:t>
      </w:r>
      <w:r>
        <w:rPr>
          <w:rFonts w:ascii="Arial" w:hAnsi="Arial" w:cs="Arial"/>
          <w:szCs w:val="22"/>
        </w:rPr>
        <w:t>6</w:t>
      </w:r>
      <w:r w:rsidRPr="002845C0">
        <w:rPr>
          <w:rFonts w:ascii="Arial" w:hAnsi="Arial" w:cs="Arial"/>
          <w:szCs w:val="22"/>
        </w:rPr>
        <w:t>. godinu, utvrđen</w:t>
      </w:r>
      <w:r w:rsidR="00CB71AB">
        <w:rPr>
          <w:rFonts w:ascii="Arial" w:hAnsi="Arial" w:cs="Arial"/>
          <w:szCs w:val="22"/>
        </w:rPr>
        <w:t xml:space="preserve"> početnim planom</w:t>
      </w:r>
      <w:r w:rsidRPr="002845C0">
        <w:rPr>
          <w:rFonts w:ascii="Arial" w:hAnsi="Arial" w:cs="Arial"/>
          <w:szCs w:val="22"/>
        </w:rPr>
        <w:t xml:space="preserve"> iznosi </w:t>
      </w:r>
      <w:r w:rsidRPr="008F1EFE">
        <w:rPr>
          <w:rFonts w:ascii="Arial" w:hAnsi="Arial" w:cs="Arial"/>
          <w:szCs w:val="22"/>
        </w:rPr>
        <w:t>3.010.307,60</w:t>
      </w:r>
      <w:r w:rsidRPr="00EF22FC">
        <w:rPr>
          <w:rFonts w:ascii="Arial" w:hAnsi="Arial" w:cs="Arial"/>
          <w:szCs w:val="22"/>
        </w:rPr>
        <w:t xml:space="preserve"> </w:t>
      </w:r>
      <w:r w:rsidR="00551690">
        <w:rPr>
          <w:rFonts w:ascii="Arial" w:hAnsi="Arial" w:cs="Arial"/>
          <w:szCs w:val="22"/>
        </w:rPr>
        <w:t>EUR</w:t>
      </w:r>
      <w:r w:rsidRPr="002845C0">
        <w:rPr>
          <w:rFonts w:ascii="Arial" w:hAnsi="Arial" w:cs="Arial"/>
          <w:szCs w:val="22"/>
        </w:rPr>
        <w:t xml:space="preserve">, dok je plan rashoda Škole, uključujući višak prihoda u iznosu od </w:t>
      </w:r>
      <w:r>
        <w:rPr>
          <w:rFonts w:ascii="Arial" w:hAnsi="Arial" w:cs="Arial"/>
          <w:szCs w:val="22"/>
        </w:rPr>
        <w:t>2.600,00</w:t>
      </w:r>
      <w:r w:rsidRPr="002845C0">
        <w:rPr>
          <w:rFonts w:ascii="Arial" w:hAnsi="Arial" w:cs="Arial"/>
          <w:szCs w:val="22"/>
        </w:rPr>
        <w:t xml:space="preserve"> </w:t>
      </w:r>
      <w:r w:rsidR="00551690">
        <w:rPr>
          <w:rFonts w:ascii="Arial" w:hAnsi="Arial" w:cs="Arial"/>
          <w:szCs w:val="22"/>
        </w:rPr>
        <w:t>EUR</w:t>
      </w:r>
      <w:r w:rsidRPr="002845C0">
        <w:rPr>
          <w:rFonts w:ascii="Arial" w:hAnsi="Arial" w:cs="Arial"/>
          <w:szCs w:val="22"/>
        </w:rPr>
        <w:t xml:space="preserve">, utvrđen u ukupnom iznosu od </w:t>
      </w:r>
      <w:r>
        <w:rPr>
          <w:rFonts w:ascii="Arial" w:hAnsi="Arial" w:cs="Arial"/>
          <w:szCs w:val="22"/>
        </w:rPr>
        <w:t>3.012.</w:t>
      </w:r>
      <w:r w:rsidR="00CB71AB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>07,30</w:t>
      </w:r>
      <w:r w:rsidRPr="002845C0">
        <w:rPr>
          <w:rFonts w:ascii="Arial" w:hAnsi="Arial" w:cs="Arial"/>
          <w:szCs w:val="22"/>
        </w:rPr>
        <w:t xml:space="preserve"> </w:t>
      </w:r>
      <w:r w:rsidR="00551690">
        <w:rPr>
          <w:rFonts w:ascii="Arial" w:hAnsi="Arial" w:cs="Arial"/>
          <w:szCs w:val="22"/>
        </w:rPr>
        <w:t>EUR</w:t>
      </w:r>
      <w:r w:rsidR="00CB71AB">
        <w:rPr>
          <w:rFonts w:ascii="Arial" w:hAnsi="Arial" w:cs="Arial"/>
          <w:szCs w:val="22"/>
        </w:rPr>
        <w:t>.</w:t>
      </w:r>
      <w:r w:rsidRPr="002845C0">
        <w:rPr>
          <w:rFonts w:ascii="Arial" w:hAnsi="Arial" w:cs="Arial"/>
          <w:szCs w:val="22"/>
        </w:rPr>
        <w:t xml:space="preserve"> Razlog donošenja I. izmjena i dopuna financijskog plana Škole jest usklađenje planiranih prihoda i primitaka te rashoda i izdataka s ostvarenom realizacijom i projiciranim izvršenjem do kraja proračunske godine.</w:t>
      </w:r>
    </w:p>
    <w:p w14:paraId="76F0BB9D" w14:textId="77777777" w:rsidR="0001512B" w:rsidRPr="00C90EB5" w:rsidRDefault="0001512B" w:rsidP="00EF22FC">
      <w:pPr>
        <w:ind w:right="515"/>
        <w:jc w:val="both"/>
        <w:rPr>
          <w:rFonts w:ascii="Arial" w:hAnsi="Arial" w:cs="Arial"/>
          <w:szCs w:val="22"/>
        </w:rPr>
      </w:pPr>
    </w:p>
    <w:p w14:paraId="1DBAE3A8" w14:textId="77777777" w:rsidR="006570F7" w:rsidRPr="00C90EB5" w:rsidRDefault="006570F7" w:rsidP="00A243F8">
      <w:pPr>
        <w:ind w:left="360" w:right="515"/>
        <w:jc w:val="both"/>
        <w:rPr>
          <w:rFonts w:ascii="Arial" w:hAnsi="Arial" w:cs="Arial"/>
          <w:szCs w:val="22"/>
        </w:rPr>
      </w:pPr>
    </w:p>
    <w:p w14:paraId="25BC71F5" w14:textId="77777777" w:rsidR="000252CF" w:rsidRPr="00C90EB5" w:rsidRDefault="000252CF" w:rsidP="000252CF">
      <w:pPr>
        <w:pStyle w:val="Odlomakpopisa"/>
        <w:numPr>
          <w:ilvl w:val="0"/>
          <w:numId w:val="5"/>
        </w:numPr>
        <w:ind w:right="515"/>
        <w:jc w:val="both"/>
        <w:rPr>
          <w:rFonts w:ascii="Arial" w:hAnsi="Arial" w:cs="Arial"/>
          <w:szCs w:val="22"/>
        </w:rPr>
      </w:pPr>
      <w:r w:rsidRPr="00C90EB5">
        <w:rPr>
          <w:rFonts w:ascii="Arial" w:hAnsi="Arial" w:cs="Arial"/>
          <w:szCs w:val="22"/>
        </w:rPr>
        <w:t>OPĆI DIO</w:t>
      </w:r>
    </w:p>
    <w:p w14:paraId="496C9A3F" w14:textId="77777777" w:rsidR="006570F7" w:rsidRPr="00C90EB5" w:rsidRDefault="006570F7" w:rsidP="00F97B4C">
      <w:pPr>
        <w:ind w:right="515"/>
        <w:jc w:val="both"/>
        <w:rPr>
          <w:rFonts w:ascii="Arial" w:hAnsi="Arial" w:cs="Arial"/>
          <w:szCs w:val="22"/>
        </w:rPr>
      </w:pPr>
    </w:p>
    <w:p w14:paraId="66663F59" w14:textId="735DF03A" w:rsidR="00737489" w:rsidRPr="00737489" w:rsidRDefault="00737489" w:rsidP="00F97B4C">
      <w:pPr>
        <w:ind w:right="515"/>
        <w:jc w:val="both"/>
        <w:rPr>
          <w:rFonts w:ascii="Arial" w:hAnsi="Arial" w:cs="Arial"/>
          <w:szCs w:val="22"/>
        </w:rPr>
      </w:pPr>
      <w:r w:rsidRPr="00737489">
        <w:rPr>
          <w:rFonts w:ascii="Arial" w:hAnsi="Arial" w:cs="Arial"/>
          <w:szCs w:val="22"/>
        </w:rPr>
        <w:t>I. izmjenama i dopunama financijskog plana Škole predlaže se povećanje plana prihoda za 202</w:t>
      </w:r>
      <w:r w:rsidR="0001512B">
        <w:rPr>
          <w:rFonts w:ascii="Arial" w:hAnsi="Arial" w:cs="Arial"/>
          <w:szCs w:val="22"/>
        </w:rPr>
        <w:t>6</w:t>
      </w:r>
      <w:r w:rsidRPr="00737489">
        <w:rPr>
          <w:rFonts w:ascii="Arial" w:hAnsi="Arial" w:cs="Arial"/>
          <w:szCs w:val="22"/>
        </w:rPr>
        <w:t xml:space="preserve">. godinu u iznosu od </w:t>
      </w:r>
      <w:r w:rsidR="00A32E6B">
        <w:rPr>
          <w:rFonts w:ascii="Arial" w:hAnsi="Arial" w:cs="Arial"/>
          <w:szCs w:val="22"/>
        </w:rPr>
        <w:t>239.350,86</w:t>
      </w:r>
      <w:r w:rsidRPr="00737489">
        <w:rPr>
          <w:rFonts w:ascii="Arial" w:hAnsi="Arial" w:cs="Arial"/>
          <w:szCs w:val="22"/>
        </w:rPr>
        <w:t xml:space="preserve"> </w:t>
      </w:r>
      <w:r w:rsidR="00551690">
        <w:rPr>
          <w:rFonts w:ascii="Arial" w:hAnsi="Arial" w:cs="Arial"/>
          <w:szCs w:val="22"/>
        </w:rPr>
        <w:t>EUR</w:t>
      </w:r>
      <w:r w:rsidRPr="00737489">
        <w:rPr>
          <w:rFonts w:ascii="Arial" w:hAnsi="Arial" w:cs="Arial"/>
          <w:szCs w:val="22"/>
        </w:rPr>
        <w:t xml:space="preserve">, što predstavlja povećanje od </w:t>
      </w:r>
      <w:r w:rsidR="00A32E6B">
        <w:rPr>
          <w:rFonts w:ascii="Arial" w:hAnsi="Arial" w:cs="Arial"/>
          <w:szCs w:val="22"/>
        </w:rPr>
        <w:t>7</w:t>
      </w:r>
      <w:r w:rsidRPr="00737489">
        <w:rPr>
          <w:rFonts w:ascii="Arial" w:hAnsi="Arial" w:cs="Arial"/>
          <w:szCs w:val="22"/>
        </w:rPr>
        <w:t>,9</w:t>
      </w:r>
      <w:r w:rsidR="00A32E6B">
        <w:rPr>
          <w:rFonts w:ascii="Arial" w:hAnsi="Arial" w:cs="Arial"/>
          <w:szCs w:val="22"/>
        </w:rPr>
        <w:t>5</w:t>
      </w:r>
      <w:r w:rsidRPr="00737489">
        <w:rPr>
          <w:rFonts w:ascii="Arial" w:hAnsi="Arial" w:cs="Arial"/>
          <w:szCs w:val="22"/>
        </w:rPr>
        <w:t xml:space="preserve"> %, te povećanje plana rashoda u iznosu</w:t>
      </w:r>
      <w:r w:rsidR="00A32E6B">
        <w:rPr>
          <w:rFonts w:ascii="Arial" w:hAnsi="Arial" w:cs="Arial"/>
          <w:szCs w:val="22"/>
        </w:rPr>
        <w:t xml:space="preserve"> od  46.114,74</w:t>
      </w:r>
      <w:r w:rsidRPr="00737489">
        <w:rPr>
          <w:rFonts w:ascii="Arial" w:hAnsi="Arial" w:cs="Arial"/>
          <w:szCs w:val="22"/>
        </w:rPr>
        <w:t xml:space="preserve"> </w:t>
      </w:r>
      <w:r w:rsidR="00551690">
        <w:rPr>
          <w:rFonts w:ascii="Arial" w:hAnsi="Arial" w:cs="Arial"/>
          <w:szCs w:val="22"/>
        </w:rPr>
        <w:t>EUR</w:t>
      </w:r>
      <w:r w:rsidRPr="00737489">
        <w:rPr>
          <w:rFonts w:ascii="Arial" w:hAnsi="Arial" w:cs="Arial"/>
          <w:szCs w:val="22"/>
        </w:rPr>
        <w:t xml:space="preserve">, što predstavlja povećanje od </w:t>
      </w:r>
      <w:r w:rsidR="000567F0">
        <w:rPr>
          <w:rFonts w:ascii="Arial" w:hAnsi="Arial" w:cs="Arial"/>
          <w:szCs w:val="22"/>
        </w:rPr>
        <w:t xml:space="preserve"> </w:t>
      </w:r>
      <w:r w:rsidRPr="00737489">
        <w:rPr>
          <w:rFonts w:ascii="Arial" w:hAnsi="Arial" w:cs="Arial"/>
          <w:szCs w:val="22"/>
        </w:rPr>
        <w:t>1,</w:t>
      </w:r>
      <w:r w:rsidR="00A32E6B">
        <w:rPr>
          <w:rFonts w:ascii="Arial" w:hAnsi="Arial" w:cs="Arial"/>
          <w:szCs w:val="22"/>
        </w:rPr>
        <w:t>53</w:t>
      </w:r>
      <w:r w:rsidR="000567F0">
        <w:rPr>
          <w:rFonts w:ascii="Arial" w:hAnsi="Arial" w:cs="Arial"/>
          <w:szCs w:val="22"/>
        </w:rPr>
        <w:t xml:space="preserve"> </w:t>
      </w:r>
      <w:r w:rsidRPr="00737489">
        <w:rPr>
          <w:rFonts w:ascii="Arial" w:hAnsi="Arial" w:cs="Arial"/>
          <w:szCs w:val="22"/>
        </w:rPr>
        <w:t>%.</w:t>
      </w:r>
    </w:p>
    <w:p w14:paraId="7B9918B6" w14:textId="77777777" w:rsidR="003F06B5" w:rsidRPr="00C90EB5" w:rsidRDefault="003F06B5" w:rsidP="00F97B4C">
      <w:pPr>
        <w:ind w:right="515"/>
        <w:jc w:val="both"/>
        <w:rPr>
          <w:rFonts w:ascii="Arial" w:hAnsi="Arial" w:cs="Arial"/>
          <w:szCs w:val="22"/>
        </w:rPr>
      </w:pPr>
      <w:r w:rsidRPr="00C90EB5">
        <w:rPr>
          <w:rFonts w:ascii="Arial" w:hAnsi="Arial" w:cs="Arial"/>
          <w:szCs w:val="22"/>
        </w:rPr>
        <w:t xml:space="preserve"> </w:t>
      </w:r>
    </w:p>
    <w:p w14:paraId="3B560716" w14:textId="77777777" w:rsidR="00737489" w:rsidRDefault="00737489" w:rsidP="00737489">
      <w:pPr>
        <w:pStyle w:val="Odlomakpopisa"/>
        <w:numPr>
          <w:ilvl w:val="0"/>
          <w:numId w:val="6"/>
        </w:numPr>
        <w:ind w:right="515"/>
        <w:rPr>
          <w:rFonts w:ascii="Arial" w:hAnsi="Arial" w:cs="Arial"/>
          <w:szCs w:val="22"/>
        </w:rPr>
      </w:pPr>
      <w:r w:rsidRPr="00737489">
        <w:rPr>
          <w:rFonts w:ascii="Arial" w:hAnsi="Arial" w:cs="Arial"/>
          <w:szCs w:val="22"/>
        </w:rPr>
        <w:t>PRIHODI I PRIMICI</w:t>
      </w:r>
    </w:p>
    <w:p w14:paraId="6E5AB254" w14:textId="77777777" w:rsidR="00737489" w:rsidRPr="00737489" w:rsidRDefault="00737489" w:rsidP="00737489">
      <w:pPr>
        <w:pStyle w:val="Odlomakpopisa"/>
        <w:ind w:right="515"/>
        <w:rPr>
          <w:rFonts w:ascii="Arial" w:hAnsi="Arial" w:cs="Arial"/>
          <w:szCs w:val="22"/>
        </w:rPr>
      </w:pPr>
    </w:p>
    <w:p w14:paraId="28782A77" w14:textId="3475EFEB" w:rsidR="00737489" w:rsidRDefault="00737489" w:rsidP="00737489">
      <w:pPr>
        <w:ind w:right="515"/>
        <w:jc w:val="both"/>
        <w:rPr>
          <w:rFonts w:ascii="Arial" w:hAnsi="Arial" w:cs="Arial"/>
          <w:szCs w:val="22"/>
        </w:rPr>
      </w:pPr>
      <w:r w:rsidRPr="00737489">
        <w:rPr>
          <w:rFonts w:ascii="Arial" w:hAnsi="Arial" w:cs="Arial"/>
          <w:szCs w:val="22"/>
        </w:rPr>
        <w:t xml:space="preserve">I. izmjenama i dopunama financijskog plana, ukupni prihodi i primici planiraju se na razini od </w:t>
      </w:r>
      <w:r w:rsidR="00A32E6B">
        <w:rPr>
          <w:rFonts w:ascii="Arial" w:hAnsi="Arial" w:cs="Arial"/>
          <w:szCs w:val="22"/>
        </w:rPr>
        <w:t>3.249.</w:t>
      </w:r>
      <w:r w:rsidR="000567F0">
        <w:rPr>
          <w:rFonts w:ascii="Arial" w:hAnsi="Arial" w:cs="Arial"/>
          <w:szCs w:val="22"/>
        </w:rPr>
        <w:t>658</w:t>
      </w:r>
      <w:r w:rsidR="00A32E6B">
        <w:rPr>
          <w:rFonts w:ascii="Arial" w:hAnsi="Arial" w:cs="Arial"/>
          <w:szCs w:val="22"/>
        </w:rPr>
        <w:t>,46</w:t>
      </w:r>
      <w:r w:rsidRPr="00737489">
        <w:rPr>
          <w:rFonts w:ascii="Arial" w:hAnsi="Arial" w:cs="Arial"/>
          <w:szCs w:val="22"/>
        </w:rPr>
        <w:t xml:space="preserve"> </w:t>
      </w:r>
      <w:r w:rsidR="00551690">
        <w:rPr>
          <w:rFonts w:ascii="Arial" w:hAnsi="Arial" w:cs="Arial"/>
          <w:szCs w:val="22"/>
        </w:rPr>
        <w:t>EUR</w:t>
      </w:r>
      <w:r w:rsidRPr="00737489">
        <w:rPr>
          <w:rFonts w:ascii="Arial" w:hAnsi="Arial" w:cs="Arial"/>
          <w:szCs w:val="22"/>
        </w:rPr>
        <w:t xml:space="preserve">, što predstavlja povećanje od </w:t>
      </w:r>
      <w:r w:rsidR="00A32E6B">
        <w:rPr>
          <w:rFonts w:ascii="Arial" w:hAnsi="Arial" w:cs="Arial"/>
          <w:szCs w:val="22"/>
        </w:rPr>
        <w:t>239.350,86</w:t>
      </w:r>
      <w:r w:rsidRPr="00737489">
        <w:rPr>
          <w:rFonts w:ascii="Arial" w:hAnsi="Arial" w:cs="Arial"/>
          <w:szCs w:val="22"/>
        </w:rPr>
        <w:t xml:space="preserve"> </w:t>
      </w:r>
      <w:r w:rsidR="00551690">
        <w:rPr>
          <w:rFonts w:ascii="Arial" w:hAnsi="Arial" w:cs="Arial"/>
          <w:szCs w:val="22"/>
        </w:rPr>
        <w:t>EUR</w:t>
      </w:r>
      <w:r w:rsidRPr="00737489">
        <w:rPr>
          <w:rFonts w:ascii="Arial" w:hAnsi="Arial" w:cs="Arial"/>
          <w:szCs w:val="22"/>
        </w:rPr>
        <w:t xml:space="preserve"> ili </w:t>
      </w:r>
      <w:r w:rsidR="00A32E6B">
        <w:rPr>
          <w:rFonts w:ascii="Arial" w:hAnsi="Arial" w:cs="Arial"/>
          <w:szCs w:val="22"/>
        </w:rPr>
        <w:t>7,95</w:t>
      </w:r>
      <w:r w:rsidRPr="00737489">
        <w:rPr>
          <w:rFonts w:ascii="Arial" w:hAnsi="Arial" w:cs="Arial"/>
          <w:szCs w:val="22"/>
        </w:rPr>
        <w:t xml:space="preserve"> %.</w:t>
      </w:r>
    </w:p>
    <w:p w14:paraId="2501EB14" w14:textId="009CA212" w:rsidR="00737489" w:rsidRPr="00737489" w:rsidRDefault="00737489" w:rsidP="00737489">
      <w:pPr>
        <w:ind w:right="515"/>
        <w:jc w:val="both"/>
        <w:rPr>
          <w:rFonts w:ascii="Arial" w:hAnsi="Arial" w:cs="Arial"/>
          <w:szCs w:val="22"/>
        </w:rPr>
      </w:pPr>
      <w:r w:rsidRPr="00737489">
        <w:rPr>
          <w:rFonts w:ascii="Arial" w:hAnsi="Arial" w:cs="Arial"/>
          <w:szCs w:val="22"/>
        </w:rPr>
        <w:t xml:space="preserve">Predlaže se povećanje </w:t>
      </w:r>
      <w:r w:rsidRPr="00737489">
        <w:rPr>
          <w:rFonts w:ascii="Arial" w:hAnsi="Arial" w:cs="Arial"/>
          <w:bCs/>
          <w:szCs w:val="22"/>
        </w:rPr>
        <w:t>Pomoći iz inozemstva i od subjekata unutar općeg proračuna</w:t>
      </w:r>
      <w:r w:rsidRPr="00737489">
        <w:rPr>
          <w:rFonts w:ascii="Arial" w:hAnsi="Arial" w:cs="Arial"/>
          <w:szCs w:val="22"/>
        </w:rPr>
        <w:t xml:space="preserve"> za </w:t>
      </w:r>
      <w:r w:rsidR="00A32E6B">
        <w:rPr>
          <w:rFonts w:ascii="Arial" w:hAnsi="Arial" w:cs="Arial"/>
          <w:szCs w:val="22"/>
        </w:rPr>
        <w:t>215.340,65</w:t>
      </w:r>
      <w:r w:rsidRPr="00737489">
        <w:rPr>
          <w:rFonts w:ascii="Arial" w:hAnsi="Arial" w:cs="Arial"/>
          <w:szCs w:val="22"/>
        </w:rPr>
        <w:t xml:space="preserve"> </w:t>
      </w:r>
      <w:r w:rsidR="00551690">
        <w:rPr>
          <w:rFonts w:ascii="Arial" w:hAnsi="Arial" w:cs="Arial"/>
          <w:szCs w:val="22"/>
        </w:rPr>
        <w:t>EUR</w:t>
      </w:r>
      <w:r w:rsidRPr="00737489">
        <w:rPr>
          <w:rFonts w:ascii="Arial" w:hAnsi="Arial" w:cs="Arial"/>
          <w:szCs w:val="22"/>
        </w:rPr>
        <w:t xml:space="preserve"> (</w:t>
      </w:r>
      <w:r w:rsidR="00A32E6B">
        <w:rPr>
          <w:rFonts w:ascii="Arial" w:hAnsi="Arial" w:cs="Arial"/>
          <w:szCs w:val="22"/>
        </w:rPr>
        <w:t>8,67</w:t>
      </w:r>
      <w:r w:rsidRPr="00737489">
        <w:rPr>
          <w:rFonts w:ascii="Arial" w:hAnsi="Arial" w:cs="Arial"/>
          <w:szCs w:val="22"/>
        </w:rPr>
        <w:t xml:space="preserve"> %). Predloženo povećanje odnosi se na</w:t>
      </w:r>
      <w:r w:rsidR="000567F0">
        <w:rPr>
          <w:rFonts w:ascii="Arial" w:hAnsi="Arial" w:cs="Arial"/>
          <w:szCs w:val="22"/>
        </w:rPr>
        <w:t xml:space="preserve"> prihode iz državnog proračuna kojima se financiraju rashodi za zaposlene radi</w:t>
      </w:r>
      <w:r w:rsidRPr="00737489">
        <w:rPr>
          <w:rFonts w:ascii="Arial" w:hAnsi="Arial" w:cs="Arial"/>
          <w:szCs w:val="22"/>
        </w:rPr>
        <w:t xml:space="preserve"> </w:t>
      </w:r>
      <w:r w:rsidR="000567F0">
        <w:rPr>
          <w:rFonts w:ascii="Arial" w:hAnsi="Arial" w:cs="Arial"/>
          <w:szCs w:val="22"/>
        </w:rPr>
        <w:t>povećanja osnovice za obračun plaće od ukupno 3% u 2026. godini</w:t>
      </w:r>
      <w:r w:rsidR="00A32E6B">
        <w:rPr>
          <w:rFonts w:ascii="Arial" w:hAnsi="Arial" w:cs="Arial"/>
          <w:szCs w:val="22"/>
        </w:rPr>
        <w:t xml:space="preserve"> </w:t>
      </w:r>
      <w:r w:rsidR="000567F0">
        <w:rPr>
          <w:rFonts w:ascii="Arial" w:hAnsi="Arial" w:cs="Arial"/>
          <w:szCs w:val="22"/>
        </w:rPr>
        <w:t>i pokrivanje metodološkog manjka</w:t>
      </w:r>
      <w:r w:rsidR="0010362B">
        <w:rPr>
          <w:rFonts w:ascii="Arial" w:hAnsi="Arial" w:cs="Arial"/>
          <w:szCs w:val="22"/>
        </w:rPr>
        <w:t xml:space="preserve"> iz obračuna plaće</w:t>
      </w:r>
      <w:r w:rsidR="000567F0">
        <w:rPr>
          <w:rFonts w:ascii="Arial" w:hAnsi="Arial" w:cs="Arial"/>
          <w:szCs w:val="22"/>
        </w:rPr>
        <w:t xml:space="preserve"> za mjesec prosinac 2025. godine.</w:t>
      </w:r>
    </w:p>
    <w:p w14:paraId="55A41B8E" w14:textId="3315F533" w:rsidR="00737489" w:rsidRPr="00737489" w:rsidRDefault="00737489" w:rsidP="00737489">
      <w:pPr>
        <w:ind w:right="515"/>
        <w:jc w:val="both"/>
        <w:rPr>
          <w:rFonts w:ascii="Arial" w:hAnsi="Arial" w:cs="Arial"/>
          <w:szCs w:val="22"/>
        </w:rPr>
      </w:pPr>
      <w:r w:rsidRPr="00737489">
        <w:rPr>
          <w:rFonts w:ascii="Arial" w:hAnsi="Arial" w:cs="Arial"/>
          <w:szCs w:val="22"/>
        </w:rPr>
        <w:t xml:space="preserve">Prihodi od </w:t>
      </w:r>
      <w:r w:rsidRPr="00737489">
        <w:rPr>
          <w:rFonts w:ascii="Arial" w:hAnsi="Arial" w:cs="Arial"/>
          <w:bCs/>
          <w:szCs w:val="22"/>
        </w:rPr>
        <w:t>upravnih i administrativnih pristojbi, pristojbi po posebnim propisima i naknada</w:t>
      </w:r>
      <w:r w:rsidRPr="00737489">
        <w:rPr>
          <w:rFonts w:ascii="Arial" w:hAnsi="Arial" w:cs="Arial"/>
          <w:szCs w:val="22"/>
        </w:rPr>
        <w:t xml:space="preserve"> planiraju se viši za </w:t>
      </w:r>
      <w:r w:rsidR="00A32E6B">
        <w:rPr>
          <w:rFonts w:ascii="Arial" w:hAnsi="Arial" w:cs="Arial"/>
          <w:szCs w:val="22"/>
        </w:rPr>
        <w:t>10</w:t>
      </w:r>
      <w:r w:rsidRPr="00737489">
        <w:rPr>
          <w:rFonts w:ascii="Arial" w:hAnsi="Arial" w:cs="Arial"/>
          <w:szCs w:val="22"/>
        </w:rPr>
        <w:t>.</w:t>
      </w:r>
      <w:r w:rsidR="00A32E6B">
        <w:rPr>
          <w:rFonts w:ascii="Arial" w:hAnsi="Arial" w:cs="Arial"/>
          <w:szCs w:val="22"/>
        </w:rPr>
        <w:t>0</w:t>
      </w:r>
      <w:r w:rsidRPr="00737489">
        <w:rPr>
          <w:rFonts w:ascii="Arial" w:hAnsi="Arial" w:cs="Arial"/>
          <w:szCs w:val="22"/>
        </w:rPr>
        <w:t xml:space="preserve">00,00 </w:t>
      </w:r>
      <w:r w:rsidR="00551690">
        <w:rPr>
          <w:rFonts w:ascii="Arial" w:hAnsi="Arial" w:cs="Arial"/>
          <w:szCs w:val="22"/>
        </w:rPr>
        <w:t>EUR</w:t>
      </w:r>
      <w:r w:rsidRPr="00737489">
        <w:rPr>
          <w:rFonts w:ascii="Arial" w:hAnsi="Arial" w:cs="Arial"/>
          <w:szCs w:val="22"/>
        </w:rPr>
        <w:t xml:space="preserve"> (</w:t>
      </w:r>
      <w:r w:rsidR="00A32E6B">
        <w:rPr>
          <w:rFonts w:ascii="Arial" w:hAnsi="Arial" w:cs="Arial"/>
          <w:szCs w:val="22"/>
        </w:rPr>
        <w:t>4,67</w:t>
      </w:r>
      <w:r w:rsidRPr="00737489">
        <w:rPr>
          <w:rFonts w:ascii="Arial" w:hAnsi="Arial" w:cs="Arial"/>
          <w:szCs w:val="22"/>
        </w:rPr>
        <w:t xml:space="preserve"> %) u skladu s već realiziranim prihodima i procjenom prihoda i primitaka do kraja proračunske godine.</w:t>
      </w:r>
    </w:p>
    <w:p w14:paraId="096E4651" w14:textId="034ADAA6" w:rsidR="0010362B" w:rsidRDefault="0010362B" w:rsidP="0010362B">
      <w:pPr>
        <w:ind w:right="515"/>
        <w:jc w:val="both"/>
        <w:rPr>
          <w:rFonts w:ascii="Arial" w:hAnsi="Arial" w:cs="Arial"/>
          <w:szCs w:val="22"/>
        </w:rPr>
      </w:pPr>
      <w:r w:rsidRPr="00737489">
        <w:rPr>
          <w:rFonts w:ascii="Arial" w:hAnsi="Arial" w:cs="Arial"/>
          <w:szCs w:val="22"/>
        </w:rPr>
        <w:t xml:space="preserve">Predlaže se i </w:t>
      </w:r>
      <w:r w:rsidRPr="0010362B">
        <w:rPr>
          <w:rFonts w:ascii="Arial" w:hAnsi="Arial" w:cs="Arial"/>
          <w:szCs w:val="22"/>
        </w:rPr>
        <w:t>povećanje vlastitih prihoda za 761,25</w:t>
      </w:r>
      <w:r>
        <w:rPr>
          <w:rFonts w:ascii="Arial" w:hAnsi="Arial" w:cs="Arial"/>
          <w:szCs w:val="22"/>
        </w:rPr>
        <w:t xml:space="preserve"> EUR kojim će se pokriti metodološki manjak režijskih rashoda 2025. godine.</w:t>
      </w:r>
      <w:r w:rsidRPr="00737489">
        <w:rPr>
          <w:rFonts w:ascii="Arial" w:hAnsi="Arial" w:cs="Arial"/>
          <w:szCs w:val="22"/>
        </w:rPr>
        <w:t xml:space="preserve"> </w:t>
      </w:r>
    </w:p>
    <w:p w14:paraId="4404DBBA" w14:textId="77777777" w:rsidR="0010362B" w:rsidRDefault="0010362B" w:rsidP="00737489">
      <w:pPr>
        <w:ind w:right="515"/>
        <w:jc w:val="both"/>
        <w:rPr>
          <w:rFonts w:ascii="Arial" w:hAnsi="Arial" w:cs="Arial"/>
          <w:szCs w:val="22"/>
        </w:rPr>
      </w:pPr>
    </w:p>
    <w:p w14:paraId="13C206C2" w14:textId="7FE45FE1" w:rsidR="00737489" w:rsidRDefault="00737489" w:rsidP="00737489">
      <w:pPr>
        <w:ind w:right="515"/>
        <w:jc w:val="both"/>
        <w:rPr>
          <w:rFonts w:ascii="Arial" w:hAnsi="Arial" w:cs="Arial"/>
          <w:szCs w:val="22"/>
        </w:rPr>
      </w:pPr>
      <w:r w:rsidRPr="00737489">
        <w:rPr>
          <w:rFonts w:ascii="Arial" w:hAnsi="Arial" w:cs="Arial"/>
          <w:szCs w:val="22"/>
        </w:rPr>
        <w:t xml:space="preserve">Prihodi iz </w:t>
      </w:r>
      <w:r w:rsidRPr="00737489">
        <w:rPr>
          <w:rFonts w:ascii="Arial" w:hAnsi="Arial" w:cs="Arial"/>
          <w:bCs/>
          <w:szCs w:val="22"/>
        </w:rPr>
        <w:t>nadležnog proračuna i od HZZO-a temeljem ugovornih obveza</w:t>
      </w:r>
      <w:r w:rsidRPr="00737489">
        <w:rPr>
          <w:rFonts w:ascii="Arial" w:hAnsi="Arial" w:cs="Arial"/>
          <w:szCs w:val="22"/>
        </w:rPr>
        <w:t xml:space="preserve"> viši su za 1</w:t>
      </w:r>
      <w:r w:rsidR="00A32E6B">
        <w:rPr>
          <w:rFonts w:ascii="Arial" w:hAnsi="Arial" w:cs="Arial"/>
          <w:szCs w:val="22"/>
        </w:rPr>
        <w:t>3</w:t>
      </w:r>
      <w:r w:rsidRPr="00737489">
        <w:rPr>
          <w:rFonts w:ascii="Arial" w:hAnsi="Arial" w:cs="Arial"/>
          <w:szCs w:val="22"/>
        </w:rPr>
        <w:t>.</w:t>
      </w:r>
      <w:r w:rsidR="00A32E6B">
        <w:rPr>
          <w:rFonts w:ascii="Arial" w:hAnsi="Arial" w:cs="Arial"/>
          <w:szCs w:val="22"/>
        </w:rPr>
        <w:t>252</w:t>
      </w:r>
      <w:r w:rsidRPr="00737489">
        <w:rPr>
          <w:rFonts w:ascii="Arial" w:hAnsi="Arial" w:cs="Arial"/>
          <w:szCs w:val="22"/>
        </w:rPr>
        <w:t>,</w:t>
      </w:r>
      <w:r w:rsidR="00A32E6B">
        <w:rPr>
          <w:rFonts w:ascii="Arial" w:hAnsi="Arial" w:cs="Arial"/>
          <w:szCs w:val="22"/>
        </w:rPr>
        <w:t>96</w:t>
      </w:r>
      <w:r w:rsidRPr="00737489">
        <w:rPr>
          <w:rFonts w:ascii="Arial" w:hAnsi="Arial" w:cs="Arial"/>
          <w:szCs w:val="22"/>
        </w:rPr>
        <w:t xml:space="preserve"> </w:t>
      </w:r>
      <w:r w:rsidR="00551690">
        <w:rPr>
          <w:rFonts w:ascii="Arial" w:hAnsi="Arial" w:cs="Arial"/>
          <w:szCs w:val="22"/>
        </w:rPr>
        <w:t>EUR</w:t>
      </w:r>
      <w:r w:rsidRPr="00737489">
        <w:rPr>
          <w:rFonts w:ascii="Arial" w:hAnsi="Arial" w:cs="Arial"/>
          <w:szCs w:val="22"/>
        </w:rPr>
        <w:t xml:space="preserve"> (</w:t>
      </w:r>
      <w:r w:rsidR="000C4370">
        <w:rPr>
          <w:rFonts w:ascii="Arial" w:hAnsi="Arial" w:cs="Arial"/>
          <w:szCs w:val="22"/>
        </w:rPr>
        <w:t>4,42</w:t>
      </w:r>
      <w:r w:rsidRPr="00737489">
        <w:rPr>
          <w:rFonts w:ascii="Arial" w:hAnsi="Arial" w:cs="Arial"/>
          <w:szCs w:val="22"/>
        </w:rPr>
        <w:t xml:space="preserve"> %) te se odnose na prihode Primorsko-goranske županije</w:t>
      </w:r>
      <w:r w:rsidR="0010362B">
        <w:rPr>
          <w:rFonts w:ascii="Arial" w:hAnsi="Arial" w:cs="Arial"/>
          <w:szCs w:val="22"/>
        </w:rPr>
        <w:t xml:space="preserve"> kojima se planira pokriti metodološki manjak 2025. godine.</w:t>
      </w:r>
    </w:p>
    <w:p w14:paraId="73FCA670" w14:textId="77777777" w:rsidR="000C4370" w:rsidRPr="00737489" w:rsidRDefault="000C4370" w:rsidP="00737489">
      <w:pPr>
        <w:ind w:right="515"/>
        <w:jc w:val="both"/>
        <w:rPr>
          <w:rFonts w:ascii="Arial" w:hAnsi="Arial" w:cs="Arial"/>
          <w:szCs w:val="22"/>
        </w:rPr>
      </w:pPr>
    </w:p>
    <w:p w14:paraId="083BDE09" w14:textId="77777777" w:rsidR="007A0F5F" w:rsidRDefault="007A0F5F" w:rsidP="005E5A09">
      <w:pPr>
        <w:ind w:right="515"/>
        <w:jc w:val="both"/>
        <w:rPr>
          <w:rFonts w:ascii="Arial" w:hAnsi="Arial" w:cs="Arial"/>
          <w:szCs w:val="22"/>
        </w:rPr>
      </w:pPr>
    </w:p>
    <w:p w14:paraId="7CC026A5" w14:textId="77777777" w:rsidR="00C90EB5" w:rsidRDefault="00C90EB5" w:rsidP="00C90EB5">
      <w:pPr>
        <w:pStyle w:val="Odlomakpopisa"/>
        <w:numPr>
          <w:ilvl w:val="0"/>
          <w:numId w:val="6"/>
        </w:numPr>
        <w:ind w:right="515"/>
        <w:rPr>
          <w:rFonts w:ascii="Arial" w:hAnsi="Arial" w:cs="Arial"/>
          <w:szCs w:val="22"/>
        </w:rPr>
      </w:pPr>
      <w:r w:rsidRPr="00C90EB5">
        <w:rPr>
          <w:rFonts w:ascii="Arial" w:hAnsi="Arial" w:cs="Arial"/>
          <w:szCs w:val="22"/>
        </w:rPr>
        <w:t>RASHODI I IZDACI</w:t>
      </w:r>
    </w:p>
    <w:p w14:paraId="72977808" w14:textId="77777777" w:rsidR="00C90EB5" w:rsidRPr="00C90EB5" w:rsidRDefault="00C90EB5" w:rsidP="00C90EB5">
      <w:pPr>
        <w:pStyle w:val="Odlomakpopisa"/>
        <w:ind w:right="515"/>
        <w:rPr>
          <w:rFonts w:ascii="Arial" w:hAnsi="Arial" w:cs="Arial"/>
          <w:szCs w:val="22"/>
        </w:rPr>
      </w:pPr>
    </w:p>
    <w:p w14:paraId="37E4C0EB" w14:textId="4CA589B1" w:rsidR="00D53482" w:rsidRPr="00D53482" w:rsidRDefault="00D53482" w:rsidP="00D53482">
      <w:pPr>
        <w:ind w:right="515"/>
        <w:jc w:val="both"/>
        <w:rPr>
          <w:rFonts w:ascii="Arial" w:hAnsi="Arial" w:cs="Arial"/>
          <w:szCs w:val="22"/>
        </w:rPr>
      </w:pPr>
      <w:r w:rsidRPr="00D53482">
        <w:rPr>
          <w:rFonts w:ascii="Arial" w:hAnsi="Arial" w:cs="Arial"/>
          <w:szCs w:val="22"/>
        </w:rPr>
        <w:t xml:space="preserve">Ukupni rashodi i izdaci povećavaju se za </w:t>
      </w:r>
      <w:r w:rsidR="000C4370">
        <w:rPr>
          <w:rFonts w:ascii="Arial" w:hAnsi="Arial" w:cs="Arial"/>
          <w:szCs w:val="22"/>
        </w:rPr>
        <w:t>46.114,74</w:t>
      </w:r>
      <w:r w:rsidRPr="00D53482">
        <w:rPr>
          <w:rFonts w:ascii="Arial" w:hAnsi="Arial" w:cs="Arial"/>
          <w:szCs w:val="22"/>
        </w:rPr>
        <w:t xml:space="preserve"> </w:t>
      </w:r>
      <w:r w:rsidR="0010362B">
        <w:rPr>
          <w:rFonts w:ascii="Arial" w:hAnsi="Arial" w:cs="Arial"/>
          <w:szCs w:val="22"/>
        </w:rPr>
        <w:t>EUR</w:t>
      </w:r>
      <w:r w:rsidRPr="00D53482">
        <w:rPr>
          <w:rFonts w:ascii="Arial" w:hAnsi="Arial" w:cs="Arial"/>
          <w:szCs w:val="22"/>
        </w:rPr>
        <w:t xml:space="preserve"> (</w:t>
      </w:r>
      <w:r w:rsidR="000C4370">
        <w:rPr>
          <w:rFonts w:ascii="Arial" w:hAnsi="Arial" w:cs="Arial"/>
          <w:szCs w:val="22"/>
        </w:rPr>
        <w:t>1,53</w:t>
      </w:r>
      <w:r w:rsidRPr="00D53482">
        <w:rPr>
          <w:rFonts w:ascii="Arial" w:hAnsi="Arial" w:cs="Arial"/>
          <w:szCs w:val="22"/>
        </w:rPr>
        <w:t xml:space="preserve"> %), na razinu od </w:t>
      </w:r>
      <w:r w:rsidR="000C4370">
        <w:rPr>
          <w:rFonts w:ascii="Arial" w:hAnsi="Arial" w:cs="Arial"/>
          <w:szCs w:val="22"/>
        </w:rPr>
        <w:t>3.059.022,34</w:t>
      </w:r>
      <w:r w:rsidRPr="00D53482">
        <w:rPr>
          <w:rFonts w:ascii="Arial" w:hAnsi="Arial" w:cs="Arial"/>
          <w:szCs w:val="22"/>
        </w:rPr>
        <w:t xml:space="preserve"> </w:t>
      </w:r>
      <w:r w:rsidR="00551690">
        <w:rPr>
          <w:rFonts w:ascii="Arial" w:hAnsi="Arial" w:cs="Arial"/>
          <w:szCs w:val="22"/>
        </w:rPr>
        <w:t>EUR</w:t>
      </w:r>
      <w:r w:rsidRPr="00D53482">
        <w:rPr>
          <w:rFonts w:ascii="Arial" w:hAnsi="Arial" w:cs="Arial"/>
          <w:szCs w:val="22"/>
        </w:rPr>
        <w:t>, te su, uključujući financijski rezultat</w:t>
      </w:r>
      <w:r w:rsidR="0010362B">
        <w:rPr>
          <w:rFonts w:ascii="Arial" w:hAnsi="Arial" w:cs="Arial"/>
          <w:szCs w:val="22"/>
        </w:rPr>
        <w:t xml:space="preserve"> (preneseni manjak i preneseni višak)</w:t>
      </w:r>
      <w:r w:rsidRPr="00D53482">
        <w:rPr>
          <w:rFonts w:ascii="Arial" w:hAnsi="Arial" w:cs="Arial"/>
          <w:szCs w:val="22"/>
        </w:rPr>
        <w:t>, uravnoteženi s prihodovnom stranom financijskog plana.</w:t>
      </w:r>
    </w:p>
    <w:p w14:paraId="5DC9D481" w14:textId="696EA9F1" w:rsidR="00D53482" w:rsidRPr="00D53482" w:rsidRDefault="00D53482" w:rsidP="00D53482">
      <w:pPr>
        <w:ind w:right="515"/>
        <w:jc w:val="both"/>
        <w:rPr>
          <w:rFonts w:ascii="Arial" w:hAnsi="Arial" w:cs="Arial"/>
          <w:szCs w:val="22"/>
        </w:rPr>
      </w:pPr>
      <w:r w:rsidRPr="00D53482">
        <w:rPr>
          <w:rFonts w:ascii="Arial" w:hAnsi="Arial" w:cs="Arial"/>
          <w:szCs w:val="22"/>
        </w:rPr>
        <w:t xml:space="preserve">Rashodi za zaposlene </w:t>
      </w:r>
      <w:r w:rsidR="000C4370">
        <w:rPr>
          <w:rFonts w:ascii="Arial" w:hAnsi="Arial" w:cs="Arial"/>
          <w:szCs w:val="22"/>
        </w:rPr>
        <w:t>povećavaju se</w:t>
      </w:r>
      <w:r w:rsidRPr="00D53482">
        <w:rPr>
          <w:rFonts w:ascii="Arial" w:hAnsi="Arial" w:cs="Arial"/>
          <w:szCs w:val="22"/>
        </w:rPr>
        <w:t xml:space="preserve"> u skladu s već realiziranim rashodima</w:t>
      </w:r>
      <w:r w:rsidR="000C4370">
        <w:rPr>
          <w:rFonts w:ascii="Arial" w:hAnsi="Arial" w:cs="Arial"/>
          <w:szCs w:val="22"/>
        </w:rPr>
        <w:t xml:space="preserve"> </w:t>
      </w:r>
      <w:r w:rsidR="004352E6">
        <w:rPr>
          <w:rFonts w:ascii="Arial" w:hAnsi="Arial" w:cs="Arial"/>
          <w:szCs w:val="22"/>
        </w:rPr>
        <w:t xml:space="preserve">i procjenom rashoda do kraja proračunske godine </w:t>
      </w:r>
      <w:r w:rsidRPr="00D53482">
        <w:rPr>
          <w:rFonts w:ascii="Arial" w:hAnsi="Arial" w:cs="Arial"/>
          <w:szCs w:val="22"/>
        </w:rPr>
        <w:t xml:space="preserve">za </w:t>
      </w:r>
      <w:r w:rsidR="000C4370">
        <w:rPr>
          <w:rFonts w:ascii="Arial" w:hAnsi="Arial" w:cs="Arial"/>
          <w:szCs w:val="22"/>
        </w:rPr>
        <w:t>30.230,00</w:t>
      </w:r>
      <w:r w:rsidRPr="00D53482">
        <w:rPr>
          <w:rFonts w:ascii="Arial" w:hAnsi="Arial" w:cs="Arial"/>
          <w:szCs w:val="22"/>
        </w:rPr>
        <w:t xml:space="preserve"> </w:t>
      </w:r>
      <w:r w:rsidR="00551690">
        <w:rPr>
          <w:rFonts w:ascii="Arial" w:hAnsi="Arial" w:cs="Arial"/>
          <w:szCs w:val="22"/>
        </w:rPr>
        <w:t>EUR</w:t>
      </w:r>
      <w:r w:rsidRPr="00D53482">
        <w:rPr>
          <w:rFonts w:ascii="Arial" w:hAnsi="Arial" w:cs="Arial"/>
          <w:szCs w:val="22"/>
        </w:rPr>
        <w:t xml:space="preserve"> (</w:t>
      </w:r>
      <w:r w:rsidR="000C4370">
        <w:rPr>
          <w:rFonts w:ascii="Arial" w:hAnsi="Arial" w:cs="Arial"/>
          <w:szCs w:val="22"/>
        </w:rPr>
        <w:t>1,20</w:t>
      </w:r>
      <w:r w:rsidRPr="00D53482">
        <w:rPr>
          <w:rFonts w:ascii="Arial" w:hAnsi="Arial" w:cs="Arial"/>
          <w:szCs w:val="22"/>
        </w:rPr>
        <w:t xml:space="preserve"> %).</w:t>
      </w:r>
    </w:p>
    <w:p w14:paraId="22EA509A" w14:textId="00ECC2FE" w:rsidR="00D53482" w:rsidRDefault="00D53482" w:rsidP="00D53482">
      <w:pPr>
        <w:ind w:right="515"/>
        <w:jc w:val="both"/>
        <w:rPr>
          <w:rFonts w:ascii="Arial" w:hAnsi="Arial" w:cs="Arial"/>
          <w:szCs w:val="22"/>
        </w:rPr>
      </w:pPr>
      <w:r w:rsidRPr="00D53482">
        <w:rPr>
          <w:rFonts w:ascii="Arial" w:hAnsi="Arial" w:cs="Arial"/>
          <w:szCs w:val="22"/>
        </w:rPr>
        <w:t xml:space="preserve">Materijalni rashodi povećavaju se za </w:t>
      </w:r>
      <w:r w:rsidR="000C4370">
        <w:rPr>
          <w:rFonts w:ascii="Arial" w:hAnsi="Arial" w:cs="Arial"/>
          <w:szCs w:val="22"/>
        </w:rPr>
        <w:t>11.003,26</w:t>
      </w:r>
      <w:r w:rsidRPr="00D53482">
        <w:rPr>
          <w:rFonts w:ascii="Arial" w:hAnsi="Arial" w:cs="Arial"/>
          <w:szCs w:val="22"/>
        </w:rPr>
        <w:t xml:space="preserve"> </w:t>
      </w:r>
      <w:r w:rsidR="00551690">
        <w:rPr>
          <w:rFonts w:ascii="Arial" w:hAnsi="Arial" w:cs="Arial"/>
          <w:szCs w:val="22"/>
        </w:rPr>
        <w:t>EUR</w:t>
      </w:r>
      <w:r w:rsidRPr="00D53482">
        <w:rPr>
          <w:rFonts w:ascii="Arial" w:hAnsi="Arial" w:cs="Arial"/>
          <w:szCs w:val="22"/>
        </w:rPr>
        <w:t xml:space="preserve"> (</w:t>
      </w:r>
      <w:r w:rsidR="000C4370">
        <w:rPr>
          <w:rFonts w:ascii="Arial" w:hAnsi="Arial" w:cs="Arial"/>
          <w:szCs w:val="22"/>
        </w:rPr>
        <w:t>2,49</w:t>
      </w:r>
      <w:r w:rsidRPr="00D53482">
        <w:rPr>
          <w:rFonts w:ascii="Arial" w:hAnsi="Arial" w:cs="Arial"/>
          <w:szCs w:val="22"/>
        </w:rPr>
        <w:t xml:space="preserve"> %)</w:t>
      </w:r>
      <w:r w:rsidR="004352E6">
        <w:rPr>
          <w:rFonts w:ascii="Arial" w:hAnsi="Arial" w:cs="Arial"/>
          <w:szCs w:val="22"/>
        </w:rPr>
        <w:t xml:space="preserve"> a naknade građanima i kućanstvima na temelju osiguranja i druge naknade koje uz radne udžbenike uključuju i prijevoz učenika</w:t>
      </w:r>
      <w:r w:rsidRPr="00D53482">
        <w:rPr>
          <w:rFonts w:ascii="Arial" w:hAnsi="Arial" w:cs="Arial"/>
          <w:szCs w:val="22"/>
        </w:rPr>
        <w:t xml:space="preserve"> </w:t>
      </w:r>
      <w:r w:rsidR="004352E6">
        <w:rPr>
          <w:rFonts w:ascii="Arial" w:hAnsi="Arial" w:cs="Arial"/>
          <w:szCs w:val="22"/>
        </w:rPr>
        <w:t>za 4.000,00 EUR (13,33%).</w:t>
      </w:r>
    </w:p>
    <w:p w14:paraId="08343641" w14:textId="0523FB35" w:rsidR="004352E6" w:rsidRPr="00D53482" w:rsidRDefault="004352E6" w:rsidP="00D53482">
      <w:pPr>
        <w:ind w:right="51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Rashodi za nabavu proizvedene dugotrajne imovine koji uz udžbenike uključuju i opremu povećavaju se za 1.700,00 EUR (11,58 %).</w:t>
      </w:r>
    </w:p>
    <w:p w14:paraId="1222E177" w14:textId="77777777" w:rsidR="00D53482" w:rsidRDefault="00D53482" w:rsidP="00C63008">
      <w:pPr>
        <w:ind w:right="515"/>
        <w:jc w:val="both"/>
        <w:rPr>
          <w:rFonts w:ascii="Arial" w:hAnsi="Arial" w:cs="Arial"/>
          <w:szCs w:val="22"/>
        </w:rPr>
      </w:pPr>
    </w:p>
    <w:p w14:paraId="5F304A93" w14:textId="77777777" w:rsidR="00C90EB5" w:rsidRDefault="00C90EB5" w:rsidP="00C90EB5">
      <w:pPr>
        <w:ind w:right="515"/>
        <w:jc w:val="both"/>
        <w:rPr>
          <w:rFonts w:ascii="Arial" w:hAnsi="Arial" w:cs="Arial"/>
          <w:szCs w:val="22"/>
        </w:rPr>
      </w:pPr>
    </w:p>
    <w:p w14:paraId="5AA9DA05" w14:textId="77777777" w:rsidR="00C90EB5" w:rsidRPr="00C90EB5" w:rsidRDefault="00C90EB5" w:rsidP="00C90EB5">
      <w:pPr>
        <w:pStyle w:val="Odlomakpopisa"/>
        <w:numPr>
          <w:ilvl w:val="0"/>
          <w:numId w:val="7"/>
        </w:numPr>
        <w:spacing w:after="160"/>
        <w:ind w:right="515"/>
        <w:jc w:val="both"/>
        <w:rPr>
          <w:rFonts w:ascii="Arial" w:hAnsi="Arial" w:cs="Arial"/>
          <w:szCs w:val="22"/>
        </w:rPr>
      </w:pPr>
      <w:r w:rsidRPr="00C90EB5">
        <w:rPr>
          <w:rFonts w:ascii="Arial" w:hAnsi="Arial" w:cs="Arial"/>
          <w:szCs w:val="22"/>
        </w:rPr>
        <w:t>PRENESENI VIŠAK</w:t>
      </w:r>
    </w:p>
    <w:p w14:paraId="411DCBE1" w14:textId="3AF2DF7F" w:rsidR="00C90EB5" w:rsidRDefault="00C90EB5" w:rsidP="00C90EB5">
      <w:pPr>
        <w:ind w:right="515"/>
        <w:jc w:val="both"/>
        <w:rPr>
          <w:rFonts w:ascii="Arial" w:hAnsi="Arial" w:cs="Arial"/>
          <w:szCs w:val="22"/>
        </w:rPr>
      </w:pPr>
      <w:r w:rsidRPr="00C90EB5">
        <w:rPr>
          <w:rFonts w:ascii="Arial" w:hAnsi="Arial" w:cs="Arial"/>
          <w:szCs w:val="22"/>
        </w:rPr>
        <w:t xml:space="preserve">Uravnoteženje financijskog plana postiže se planiranim rezultatom poslovanja, odnosno prenesenim </w:t>
      </w:r>
      <w:r w:rsidR="004352E6">
        <w:rPr>
          <w:rFonts w:ascii="Arial" w:hAnsi="Arial" w:cs="Arial"/>
          <w:szCs w:val="22"/>
        </w:rPr>
        <w:t>manjkom i raspoređenim viškom</w:t>
      </w:r>
      <w:r w:rsidRPr="00C90EB5">
        <w:rPr>
          <w:rFonts w:ascii="Arial" w:hAnsi="Arial" w:cs="Arial"/>
          <w:szCs w:val="22"/>
        </w:rPr>
        <w:t xml:space="preserve"> iz prethodne godine</w:t>
      </w:r>
      <w:r w:rsidR="004352E6">
        <w:rPr>
          <w:rFonts w:ascii="Arial" w:hAnsi="Arial" w:cs="Arial"/>
          <w:szCs w:val="22"/>
        </w:rPr>
        <w:t>.</w:t>
      </w:r>
    </w:p>
    <w:p w14:paraId="637F97BF" w14:textId="6F3838EB" w:rsidR="00D3702B" w:rsidRDefault="00D3702B" w:rsidP="00C90EB5">
      <w:pPr>
        <w:ind w:right="515"/>
        <w:jc w:val="both"/>
        <w:rPr>
          <w:rFonts w:ascii="Arial" w:hAnsi="Arial" w:cs="Arial"/>
          <w:szCs w:val="22"/>
        </w:rPr>
      </w:pPr>
    </w:p>
    <w:p w14:paraId="1CB990D1" w14:textId="2596FBE0" w:rsidR="00D3702B" w:rsidRPr="00C90EB5" w:rsidRDefault="004352E6" w:rsidP="00D3702B">
      <w:pPr>
        <w:ind w:right="51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Manjak u iznosu od 201.804,47 EUR u 2026. godini pokrit će se viškom prihoda iz izvora opći prihodi i primici, </w:t>
      </w:r>
      <w:r w:rsidR="00EF22FC">
        <w:rPr>
          <w:rFonts w:ascii="Arial" w:hAnsi="Arial" w:cs="Arial"/>
          <w:szCs w:val="22"/>
        </w:rPr>
        <w:t xml:space="preserve">prihodi za posebne namjene, </w:t>
      </w:r>
      <w:r>
        <w:rPr>
          <w:rFonts w:ascii="Arial" w:hAnsi="Arial" w:cs="Arial"/>
          <w:szCs w:val="22"/>
        </w:rPr>
        <w:t>vlastiti prihodi</w:t>
      </w:r>
      <w:r w:rsidR="00EF22FC">
        <w:rPr>
          <w:rFonts w:ascii="Arial" w:hAnsi="Arial" w:cs="Arial"/>
          <w:szCs w:val="22"/>
        </w:rPr>
        <w:t xml:space="preserve"> i </w:t>
      </w:r>
      <w:r>
        <w:rPr>
          <w:rFonts w:ascii="Arial" w:hAnsi="Arial" w:cs="Arial"/>
          <w:szCs w:val="22"/>
        </w:rPr>
        <w:t>pomoći</w:t>
      </w:r>
      <w:r w:rsidR="00EF22FC">
        <w:rPr>
          <w:rFonts w:ascii="Arial" w:hAnsi="Arial" w:cs="Arial"/>
          <w:szCs w:val="22"/>
        </w:rPr>
        <w:t>.</w:t>
      </w:r>
    </w:p>
    <w:p w14:paraId="5AEC82AF" w14:textId="2B62C62A" w:rsidR="00D3702B" w:rsidRDefault="00EF22FC" w:rsidP="00C90EB5">
      <w:pPr>
        <w:ind w:right="51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Višak prihoda poslovanja u iznosu od 11.168,35 EUR raspoređuje se I. izmjenama i dopunama financijskog plana za 2026. godinu prema programima, projektima, aktivnostima navedenim u Odluci Školskog odbora 02. veljače 2026. godine.</w:t>
      </w:r>
    </w:p>
    <w:p w14:paraId="45F188F8" w14:textId="77777777" w:rsidR="00D3702B" w:rsidRDefault="00D3702B" w:rsidP="00C90EB5">
      <w:pPr>
        <w:ind w:right="515"/>
        <w:jc w:val="both"/>
        <w:rPr>
          <w:rFonts w:ascii="Arial" w:hAnsi="Arial" w:cs="Arial"/>
          <w:szCs w:val="22"/>
        </w:rPr>
      </w:pPr>
    </w:p>
    <w:p w14:paraId="7ABFB973" w14:textId="77777777" w:rsidR="005C4A87" w:rsidRPr="00C90EB5" w:rsidRDefault="005C4A87" w:rsidP="00F97B4C">
      <w:pPr>
        <w:ind w:right="515"/>
        <w:jc w:val="both"/>
        <w:rPr>
          <w:rFonts w:ascii="Arial" w:hAnsi="Arial" w:cs="Arial"/>
          <w:szCs w:val="22"/>
        </w:rPr>
      </w:pPr>
    </w:p>
    <w:p w14:paraId="283A667E" w14:textId="77777777" w:rsidR="006570F7" w:rsidRPr="00C90EB5" w:rsidRDefault="006570F7" w:rsidP="00F97B4C">
      <w:pPr>
        <w:ind w:right="515"/>
        <w:jc w:val="both"/>
        <w:rPr>
          <w:rFonts w:ascii="Arial" w:hAnsi="Arial" w:cs="Arial"/>
          <w:szCs w:val="22"/>
        </w:rPr>
      </w:pPr>
    </w:p>
    <w:p w14:paraId="637AB109" w14:textId="77777777" w:rsidR="00D36C45" w:rsidRDefault="00D36C45" w:rsidP="00F97B4C">
      <w:pPr>
        <w:ind w:right="515"/>
        <w:jc w:val="both"/>
        <w:rPr>
          <w:rFonts w:ascii="Arial" w:hAnsi="Arial" w:cs="Arial"/>
          <w:szCs w:val="22"/>
        </w:rPr>
      </w:pPr>
    </w:p>
    <w:p w14:paraId="74E6881F" w14:textId="77777777" w:rsidR="00BE3AE7" w:rsidRDefault="00BE3AE7" w:rsidP="00F97B4C">
      <w:pPr>
        <w:ind w:right="515"/>
        <w:jc w:val="both"/>
        <w:rPr>
          <w:rFonts w:ascii="Arial" w:hAnsi="Arial" w:cs="Arial"/>
          <w:szCs w:val="22"/>
        </w:rPr>
      </w:pPr>
    </w:p>
    <w:p w14:paraId="4B011601" w14:textId="77777777" w:rsidR="00BE3AE7" w:rsidRDefault="00BE3AE7" w:rsidP="00F97B4C">
      <w:pPr>
        <w:ind w:right="515"/>
        <w:jc w:val="both"/>
        <w:rPr>
          <w:rFonts w:ascii="Arial" w:hAnsi="Arial" w:cs="Arial"/>
          <w:szCs w:val="22"/>
        </w:rPr>
      </w:pPr>
    </w:p>
    <w:p w14:paraId="03B6113D" w14:textId="77777777" w:rsidR="00BE3AE7" w:rsidRDefault="00BE3AE7" w:rsidP="00F97B4C">
      <w:pPr>
        <w:ind w:right="515"/>
        <w:jc w:val="both"/>
        <w:rPr>
          <w:rFonts w:ascii="Arial" w:hAnsi="Arial" w:cs="Arial"/>
          <w:szCs w:val="22"/>
        </w:rPr>
      </w:pPr>
    </w:p>
    <w:p w14:paraId="7AC001B6" w14:textId="77777777" w:rsidR="00BE3AE7" w:rsidRDefault="00BE3AE7" w:rsidP="00F97B4C">
      <w:pPr>
        <w:ind w:right="515"/>
        <w:jc w:val="both"/>
        <w:rPr>
          <w:rFonts w:ascii="Arial" w:hAnsi="Arial" w:cs="Arial"/>
          <w:szCs w:val="22"/>
        </w:rPr>
      </w:pPr>
    </w:p>
    <w:p w14:paraId="330E97EE" w14:textId="77777777" w:rsidR="00BE3AE7" w:rsidRDefault="00BE3AE7" w:rsidP="00F97B4C">
      <w:pPr>
        <w:ind w:right="515"/>
        <w:jc w:val="both"/>
        <w:rPr>
          <w:rFonts w:ascii="Arial" w:hAnsi="Arial" w:cs="Arial"/>
          <w:szCs w:val="22"/>
        </w:rPr>
      </w:pPr>
    </w:p>
    <w:p w14:paraId="51E76631" w14:textId="77777777" w:rsidR="00BE3AE7" w:rsidRDefault="00BE3AE7" w:rsidP="00F97B4C">
      <w:pPr>
        <w:ind w:right="515"/>
        <w:jc w:val="both"/>
        <w:rPr>
          <w:rFonts w:ascii="Arial" w:hAnsi="Arial" w:cs="Arial"/>
          <w:szCs w:val="22"/>
        </w:rPr>
      </w:pPr>
    </w:p>
    <w:p w14:paraId="69F9D0B2" w14:textId="2FC83AB2" w:rsidR="00EC1B1E" w:rsidRDefault="00EC1B1E" w:rsidP="00F97B4C">
      <w:pPr>
        <w:ind w:right="515"/>
        <w:jc w:val="both"/>
        <w:rPr>
          <w:rFonts w:ascii="Arial" w:hAnsi="Arial" w:cs="Arial"/>
          <w:szCs w:val="22"/>
        </w:rPr>
      </w:pPr>
    </w:p>
    <w:p w14:paraId="2F808612" w14:textId="70A43E59" w:rsidR="00EC1B1E" w:rsidRDefault="00EC1B1E" w:rsidP="00F97B4C">
      <w:pPr>
        <w:ind w:right="515"/>
        <w:jc w:val="both"/>
        <w:rPr>
          <w:rFonts w:ascii="Arial" w:hAnsi="Arial" w:cs="Arial"/>
          <w:szCs w:val="22"/>
        </w:rPr>
      </w:pPr>
    </w:p>
    <w:p w14:paraId="67F8C60E" w14:textId="4DD2EC50" w:rsidR="00EC1B1E" w:rsidRDefault="00EC1B1E" w:rsidP="00F97B4C">
      <w:pPr>
        <w:ind w:right="515"/>
        <w:jc w:val="both"/>
        <w:rPr>
          <w:rFonts w:ascii="Arial" w:hAnsi="Arial" w:cs="Arial"/>
          <w:szCs w:val="22"/>
        </w:rPr>
      </w:pPr>
    </w:p>
    <w:p w14:paraId="2FC0A21D" w14:textId="0C17FF57" w:rsidR="00EC1B1E" w:rsidRDefault="00EC1B1E" w:rsidP="00F97B4C">
      <w:pPr>
        <w:ind w:right="515"/>
        <w:jc w:val="both"/>
        <w:rPr>
          <w:rFonts w:ascii="Arial" w:hAnsi="Arial" w:cs="Arial"/>
          <w:szCs w:val="22"/>
        </w:rPr>
      </w:pPr>
    </w:p>
    <w:p w14:paraId="0FAB670E" w14:textId="3D9D2B46" w:rsidR="00EC1B1E" w:rsidRDefault="00EC1B1E" w:rsidP="00F97B4C">
      <w:pPr>
        <w:ind w:right="515"/>
        <w:jc w:val="both"/>
        <w:rPr>
          <w:rFonts w:ascii="Arial" w:hAnsi="Arial" w:cs="Arial"/>
          <w:szCs w:val="22"/>
        </w:rPr>
      </w:pPr>
    </w:p>
    <w:p w14:paraId="5191F631" w14:textId="679EA6DE" w:rsidR="00EC1B1E" w:rsidRDefault="00EC1B1E" w:rsidP="00F97B4C">
      <w:pPr>
        <w:ind w:right="515"/>
        <w:jc w:val="both"/>
        <w:rPr>
          <w:rFonts w:ascii="Arial" w:hAnsi="Arial" w:cs="Arial"/>
          <w:szCs w:val="22"/>
        </w:rPr>
      </w:pPr>
    </w:p>
    <w:p w14:paraId="4C747029" w14:textId="29FFA2BF" w:rsidR="00EC1B1E" w:rsidRDefault="00EC1B1E" w:rsidP="00F97B4C">
      <w:pPr>
        <w:ind w:right="515"/>
        <w:jc w:val="both"/>
        <w:rPr>
          <w:rFonts w:ascii="Arial" w:hAnsi="Arial" w:cs="Arial"/>
          <w:szCs w:val="22"/>
        </w:rPr>
      </w:pPr>
    </w:p>
    <w:p w14:paraId="1F505027" w14:textId="77777777" w:rsidR="00EC1B1E" w:rsidRDefault="00EC1B1E" w:rsidP="00EC1B1E">
      <w:pPr>
        <w:ind w:right="515" w:firstLine="720"/>
        <w:jc w:val="both"/>
        <w:rPr>
          <w:rFonts w:ascii="Arial" w:hAnsi="Arial" w:cs="Arial"/>
          <w:szCs w:val="22"/>
        </w:rPr>
      </w:pPr>
    </w:p>
    <w:p w14:paraId="39C44EDA" w14:textId="77777777" w:rsidR="00EC1B1E" w:rsidRDefault="00EC1B1E" w:rsidP="00EC1B1E">
      <w:pPr>
        <w:ind w:right="515" w:firstLine="720"/>
        <w:jc w:val="both"/>
        <w:rPr>
          <w:rFonts w:ascii="Arial" w:hAnsi="Arial" w:cs="Arial"/>
          <w:szCs w:val="22"/>
        </w:rPr>
      </w:pPr>
    </w:p>
    <w:p w14:paraId="35CAC86D" w14:textId="77777777" w:rsidR="00EC1B1E" w:rsidRDefault="00EC1B1E" w:rsidP="00EC1B1E">
      <w:pPr>
        <w:ind w:right="515" w:firstLine="720"/>
        <w:jc w:val="both"/>
        <w:rPr>
          <w:rFonts w:ascii="Arial" w:hAnsi="Arial" w:cs="Arial"/>
          <w:szCs w:val="22"/>
        </w:rPr>
      </w:pPr>
    </w:p>
    <w:p w14:paraId="73AD7410" w14:textId="77777777" w:rsidR="00EC1B1E" w:rsidRDefault="00EC1B1E" w:rsidP="00EC1B1E">
      <w:pPr>
        <w:ind w:right="515" w:firstLine="720"/>
        <w:jc w:val="both"/>
        <w:rPr>
          <w:rFonts w:ascii="Arial" w:hAnsi="Arial" w:cs="Arial"/>
          <w:szCs w:val="22"/>
        </w:rPr>
      </w:pPr>
    </w:p>
    <w:p w14:paraId="261F12E4" w14:textId="77777777" w:rsidR="00EC1B1E" w:rsidRDefault="00EC1B1E" w:rsidP="00EC1B1E">
      <w:pPr>
        <w:ind w:right="515" w:firstLine="720"/>
        <w:jc w:val="both"/>
        <w:rPr>
          <w:rFonts w:ascii="Arial" w:hAnsi="Arial" w:cs="Arial"/>
          <w:szCs w:val="22"/>
        </w:rPr>
      </w:pPr>
    </w:p>
    <w:p w14:paraId="41E9AEA6" w14:textId="77777777" w:rsidR="00EC1B1E" w:rsidRDefault="00EC1B1E" w:rsidP="00EC1B1E">
      <w:pPr>
        <w:ind w:right="515" w:firstLine="720"/>
        <w:jc w:val="both"/>
        <w:rPr>
          <w:rFonts w:ascii="Arial" w:hAnsi="Arial" w:cs="Arial"/>
          <w:szCs w:val="22"/>
        </w:rPr>
      </w:pPr>
    </w:p>
    <w:p w14:paraId="277E0232" w14:textId="77777777" w:rsidR="00EC1B1E" w:rsidRDefault="00EC1B1E" w:rsidP="00EC1B1E">
      <w:pPr>
        <w:ind w:right="515" w:firstLine="720"/>
        <w:jc w:val="both"/>
        <w:rPr>
          <w:rFonts w:ascii="Arial" w:hAnsi="Arial" w:cs="Arial"/>
          <w:szCs w:val="22"/>
        </w:rPr>
      </w:pPr>
    </w:p>
    <w:p w14:paraId="7B07C345" w14:textId="77777777" w:rsidR="00EC1B1E" w:rsidRDefault="00EC1B1E" w:rsidP="00EC1B1E">
      <w:pPr>
        <w:ind w:right="515" w:firstLine="720"/>
        <w:jc w:val="both"/>
        <w:rPr>
          <w:rFonts w:ascii="Arial" w:hAnsi="Arial" w:cs="Arial"/>
          <w:szCs w:val="22"/>
        </w:rPr>
      </w:pPr>
    </w:p>
    <w:p w14:paraId="647672A0" w14:textId="2826FEC0" w:rsidR="00EC1B1E" w:rsidRPr="00C90EB5" w:rsidRDefault="00EC1B1E" w:rsidP="00EC1B1E">
      <w:pPr>
        <w:ind w:right="515" w:firstLine="720"/>
        <w:jc w:val="both"/>
        <w:rPr>
          <w:rFonts w:ascii="Arial" w:hAnsi="Arial" w:cs="Arial"/>
          <w:szCs w:val="22"/>
        </w:rPr>
      </w:pPr>
      <w:r w:rsidRPr="00C90EB5">
        <w:rPr>
          <w:rFonts w:ascii="Arial" w:hAnsi="Arial" w:cs="Arial"/>
          <w:szCs w:val="22"/>
        </w:rPr>
        <w:lastRenderedPageBreak/>
        <w:t xml:space="preserve">II. POSEBNI DIO </w:t>
      </w:r>
    </w:p>
    <w:p w14:paraId="2F184FE0" w14:textId="77777777" w:rsidR="00EC1B1E" w:rsidRPr="00C90EB5" w:rsidRDefault="00EC1B1E" w:rsidP="00EC1B1E">
      <w:pPr>
        <w:ind w:right="515"/>
        <w:jc w:val="both"/>
        <w:rPr>
          <w:rFonts w:ascii="Arial" w:hAnsi="Arial" w:cs="Arial"/>
          <w:szCs w:val="22"/>
        </w:rPr>
      </w:pPr>
    </w:p>
    <w:p w14:paraId="52BCFF7E" w14:textId="77777777" w:rsidR="00EC1B1E" w:rsidRDefault="00EC1B1E" w:rsidP="00EC1B1E">
      <w:pPr>
        <w:ind w:right="51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Rashodi i izdaci Škole </w:t>
      </w:r>
      <w:r w:rsidRPr="00C90EB5">
        <w:rPr>
          <w:rFonts w:ascii="Arial" w:hAnsi="Arial" w:cs="Arial"/>
          <w:szCs w:val="22"/>
        </w:rPr>
        <w:t xml:space="preserve">u posebnom </w:t>
      </w:r>
      <w:r>
        <w:rPr>
          <w:rFonts w:ascii="Arial" w:hAnsi="Arial" w:cs="Arial"/>
          <w:szCs w:val="22"/>
        </w:rPr>
        <w:t xml:space="preserve">se </w:t>
      </w:r>
      <w:r w:rsidRPr="00C90EB5">
        <w:rPr>
          <w:rFonts w:ascii="Arial" w:hAnsi="Arial" w:cs="Arial"/>
          <w:szCs w:val="22"/>
        </w:rPr>
        <w:t>dijelu raspoređuju po programskoj, funkcijskoj i ekonomskoj klasifikaciji te izvorima financiranja s uključenim viškom prihoda - rezultatom poslovanja.</w:t>
      </w:r>
    </w:p>
    <w:p w14:paraId="37A26AAD" w14:textId="08FADF6F" w:rsidR="00EC1B1E" w:rsidRDefault="00EC1B1E" w:rsidP="00EC1B1E">
      <w:pPr>
        <w:ind w:right="515"/>
        <w:jc w:val="both"/>
        <w:rPr>
          <w:rFonts w:ascii="Arial" w:hAnsi="Arial" w:cs="Arial"/>
          <w:szCs w:val="22"/>
        </w:rPr>
      </w:pPr>
    </w:p>
    <w:p w14:paraId="1B5A61F2" w14:textId="756C325D" w:rsidR="00A446F8" w:rsidRDefault="00A446F8" w:rsidP="00EC1B1E">
      <w:pPr>
        <w:ind w:right="515"/>
        <w:jc w:val="both"/>
        <w:rPr>
          <w:rFonts w:ascii="Arial" w:hAnsi="Arial" w:cs="Arial"/>
          <w:szCs w:val="22"/>
        </w:rPr>
      </w:pPr>
    </w:p>
    <w:tbl>
      <w:tblPr>
        <w:tblW w:w="9380" w:type="dxa"/>
        <w:tblLook w:val="04A0" w:firstRow="1" w:lastRow="0" w:firstColumn="1" w:lastColumn="0" w:noHBand="0" w:noVBand="1"/>
      </w:tblPr>
      <w:tblGrid>
        <w:gridCol w:w="894"/>
        <w:gridCol w:w="2662"/>
        <w:gridCol w:w="1386"/>
        <w:gridCol w:w="2192"/>
        <w:gridCol w:w="1386"/>
        <w:gridCol w:w="860"/>
      </w:tblGrid>
      <w:tr w:rsidR="00A446F8" w:rsidRPr="00A446F8" w14:paraId="17490065" w14:textId="77777777" w:rsidTr="00A446F8">
        <w:trPr>
          <w:trHeight w:val="864"/>
        </w:trPr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noWrap/>
            <w:vAlign w:val="center"/>
            <w:hideMark/>
          </w:tcPr>
          <w:p w14:paraId="4A98630B" w14:textId="77777777" w:rsidR="00A446F8" w:rsidRPr="00A446F8" w:rsidRDefault="00A446F8" w:rsidP="00A446F8">
            <w:pPr>
              <w:jc w:val="center"/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  <w:t>Oznaka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vAlign w:val="center"/>
            <w:hideMark/>
          </w:tcPr>
          <w:p w14:paraId="531C8B71" w14:textId="77777777" w:rsidR="00A446F8" w:rsidRPr="00A446F8" w:rsidRDefault="00A446F8" w:rsidP="00A446F8">
            <w:pPr>
              <w:jc w:val="center"/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  <w:t>Naziv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noWrap/>
            <w:vAlign w:val="center"/>
            <w:hideMark/>
          </w:tcPr>
          <w:p w14:paraId="091E3DDA" w14:textId="77777777" w:rsidR="00A446F8" w:rsidRPr="00A446F8" w:rsidRDefault="00A446F8" w:rsidP="00A446F8">
            <w:pPr>
              <w:jc w:val="center"/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  <w:t>Plan 2026.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vAlign w:val="center"/>
            <w:hideMark/>
          </w:tcPr>
          <w:p w14:paraId="683798D4" w14:textId="77777777" w:rsidR="00A446F8" w:rsidRPr="00A446F8" w:rsidRDefault="00A446F8" w:rsidP="00A446F8">
            <w:pPr>
              <w:jc w:val="center"/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  <w:t>Povećanje/smanjenje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noWrap/>
            <w:vAlign w:val="center"/>
            <w:hideMark/>
          </w:tcPr>
          <w:p w14:paraId="37EEE58B" w14:textId="77777777" w:rsidR="00A446F8" w:rsidRPr="00A446F8" w:rsidRDefault="00A446F8" w:rsidP="00A446F8">
            <w:pPr>
              <w:jc w:val="center"/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  <w:t>Novi plan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noWrap/>
            <w:vAlign w:val="center"/>
            <w:hideMark/>
          </w:tcPr>
          <w:p w14:paraId="62E8C7E1" w14:textId="77777777" w:rsidR="00A446F8" w:rsidRPr="00A446F8" w:rsidRDefault="00A446F8" w:rsidP="00A446F8">
            <w:pPr>
              <w:jc w:val="center"/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  <w:t>Indeks</w:t>
            </w:r>
          </w:p>
        </w:tc>
      </w:tr>
      <w:tr w:rsidR="00A446F8" w:rsidRPr="00A446F8" w14:paraId="6440D2CA" w14:textId="77777777" w:rsidTr="00A446F8">
        <w:trPr>
          <w:trHeight w:val="28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A0ED9E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6C8B8D0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SVEUKUPNO RASHODI I IZDACI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66EB6A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3.012.907,60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06211E9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46.114,74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55C74D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3.059.022,34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ECB9C87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101,53</w:t>
            </w:r>
          </w:p>
        </w:tc>
      </w:tr>
      <w:tr w:rsidR="00A446F8" w:rsidRPr="00A446F8" w14:paraId="3B948EBF" w14:textId="77777777" w:rsidTr="00A446F8">
        <w:trPr>
          <w:trHeight w:val="28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37104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5301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373EE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Osnovnoškolsko obrazovanje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4441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2.501.405,81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E66CC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41.948,88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A39B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2.543.354,69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691E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101,68</w:t>
            </w:r>
          </w:p>
        </w:tc>
      </w:tr>
      <w:tr w:rsidR="00A446F8" w:rsidRPr="00A446F8" w14:paraId="1EDEFA3D" w14:textId="77777777" w:rsidTr="00A446F8">
        <w:trPr>
          <w:trHeight w:val="28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350FF9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530101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7B2B474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Osiguravanje uvjeta rada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DC17651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2.327.405,81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1E4F9C3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35.948,88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4E7CE4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2.363.354,69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1A0282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101,54</w:t>
            </w:r>
          </w:p>
        </w:tc>
      </w:tr>
      <w:tr w:rsidR="00A446F8" w:rsidRPr="00A446F8" w14:paraId="7CFDB78B" w14:textId="77777777" w:rsidTr="00A446F8">
        <w:trPr>
          <w:trHeight w:val="28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B4CC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530106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EF09F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Nabava udžbenika za učenike OŠ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B6A3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38.000,00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871DD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25A5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38.000,00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F62C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100,00</w:t>
            </w:r>
          </w:p>
        </w:tc>
      </w:tr>
      <w:tr w:rsidR="00A446F8" w:rsidRPr="00A446F8" w14:paraId="39F86197" w14:textId="77777777" w:rsidTr="00A446F8">
        <w:trPr>
          <w:trHeight w:val="28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C774D3A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530107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7DA7C1D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Prehrana za učenike u osnovnim školama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3D860C5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136.000,00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F051F55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29001CE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142.000,00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9A2147A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104,41</w:t>
            </w:r>
          </w:p>
        </w:tc>
      </w:tr>
      <w:tr w:rsidR="00A446F8" w:rsidRPr="00A446F8" w14:paraId="08E768A9" w14:textId="77777777" w:rsidTr="00A446F8">
        <w:trPr>
          <w:trHeight w:val="576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AC75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5302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8CCBB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Unapređenje kvalitete odgojno obrazovnog sustava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2608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500.228,79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6E3BE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4.465,86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938B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504.694,65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F2BA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100,89</w:t>
            </w:r>
          </w:p>
        </w:tc>
      </w:tr>
      <w:tr w:rsidR="00A446F8" w:rsidRPr="00A446F8" w14:paraId="27B81C73" w14:textId="77777777" w:rsidTr="00A446F8">
        <w:trPr>
          <w:trHeight w:val="28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0A6CE3A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530202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A425ECC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Produženi boravak učenika-putnika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F3B67FD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307.235,69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5113160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7.620,47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F9FE8E5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314.856,16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B67BCC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102,48</w:t>
            </w:r>
          </w:p>
        </w:tc>
      </w:tr>
      <w:tr w:rsidR="00A446F8" w:rsidRPr="00A446F8" w14:paraId="2E14E2CE" w14:textId="77777777" w:rsidTr="00A446F8">
        <w:trPr>
          <w:trHeight w:val="28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2B5C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530209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4627A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Sufinanciranje rada pomoćnika u nastavi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DE67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183.243,10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AE777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-2.884,61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961A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180.358,49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1D10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98,43</w:t>
            </w:r>
          </w:p>
        </w:tc>
      </w:tr>
      <w:tr w:rsidR="00A446F8" w:rsidRPr="00A446F8" w14:paraId="12F2310F" w14:textId="77777777" w:rsidTr="00A446F8">
        <w:trPr>
          <w:trHeight w:val="28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24DCA35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530222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D533723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Programi školskog kurikuluma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C76F222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2.400,00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A33F9F0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084222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2.400,00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2DDD2F2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100,00</w:t>
            </w:r>
          </w:p>
        </w:tc>
      </w:tr>
      <w:tr w:rsidR="00A446F8" w:rsidRPr="00A446F8" w14:paraId="54881063" w14:textId="77777777" w:rsidTr="00A446F8">
        <w:trPr>
          <w:trHeight w:val="28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C731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530239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6A33A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Županijska škola plivanja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CECC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6.350,00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A4312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-270,00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F702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6.080,00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FF007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95,75</w:t>
            </w:r>
          </w:p>
        </w:tc>
      </w:tr>
      <w:tr w:rsidR="00A446F8" w:rsidRPr="00A446F8" w14:paraId="2AA345B8" w14:textId="77777777" w:rsidTr="00A446F8">
        <w:trPr>
          <w:trHeight w:val="576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2E989A0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530240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4516291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Osiguranje besplatnih zaliha menstrualnih higijenskih potrepština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13F2B4B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1.000,00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F6CCC2F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BE23584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1.000,00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2BC7F9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100,00</w:t>
            </w:r>
          </w:p>
        </w:tc>
      </w:tr>
      <w:tr w:rsidR="00A446F8" w:rsidRPr="00A446F8" w14:paraId="2AEE3A9A" w14:textId="77777777" w:rsidTr="00A446F8">
        <w:trPr>
          <w:trHeight w:val="576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66867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5306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0275C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Obilježavanje postignuća učenika i nastavnika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DC7F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4.600,00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1D983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-2.000,00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6DA7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2.600,00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6B32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56,52</w:t>
            </w:r>
          </w:p>
        </w:tc>
      </w:tr>
      <w:tr w:rsidR="00A446F8" w:rsidRPr="00A446F8" w14:paraId="1EE46BCD" w14:textId="77777777" w:rsidTr="00A446F8">
        <w:trPr>
          <w:trHeight w:val="28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04AECD5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530604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56C546A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Natjecanja i smotre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EF205A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4.600,00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BB8FF3A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-2.000,00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242871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2.600,00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303EC1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56,52</w:t>
            </w:r>
          </w:p>
        </w:tc>
      </w:tr>
      <w:tr w:rsidR="00A446F8" w:rsidRPr="00A446F8" w14:paraId="0120C8BF" w14:textId="77777777" w:rsidTr="00A446F8">
        <w:trPr>
          <w:trHeight w:val="576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4A59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5308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91EFC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Kapitalna ulaganja u odgojno obrazovnu infrastrukturu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7D8A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6.673,00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B08BA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1.700,00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8921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8.373,00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B4B7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125,48</w:t>
            </w:r>
          </w:p>
        </w:tc>
      </w:tr>
      <w:tr w:rsidR="00A446F8" w:rsidRPr="00A446F8" w14:paraId="522A6A5E" w14:textId="77777777" w:rsidTr="00A446F8">
        <w:trPr>
          <w:trHeight w:val="28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1C1E8F4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530801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712C0DD" w14:textId="77777777" w:rsidR="00A446F8" w:rsidRPr="00A446F8" w:rsidRDefault="00A446F8" w:rsidP="00A446F8">
            <w:pPr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Opremanje ustanova školstva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57DDCFD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6.673,00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893B5AB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1.700,00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5AD4035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8.373,00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284F7FC" w14:textId="77777777" w:rsidR="00A446F8" w:rsidRPr="00A446F8" w:rsidRDefault="00A446F8" w:rsidP="00A446F8">
            <w:pPr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color w:val="000000"/>
                <w:szCs w:val="22"/>
                <w:lang w:eastAsia="hr-HR"/>
              </w:rPr>
              <w:t>125,48</w:t>
            </w:r>
          </w:p>
        </w:tc>
      </w:tr>
      <w:tr w:rsidR="00A446F8" w:rsidRPr="00A446F8" w14:paraId="13E7D7D1" w14:textId="77777777" w:rsidTr="00A446F8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EB9C"/>
            <w:noWrap/>
            <w:vAlign w:val="center"/>
            <w:hideMark/>
          </w:tcPr>
          <w:p w14:paraId="403F8099" w14:textId="77777777" w:rsidR="00A446F8" w:rsidRPr="00A446F8" w:rsidRDefault="00A446F8" w:rsidP="00A446F8">
            <w:pPr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  <w:t> 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EB9C"/>
            <w:vAlign w:val="center"/>
            <w:hideMark/>
          </w:tcPr>
          <w:p w14:paraId="5F354F5D" w14:textId="77777777" w:rsidR="00A446F8" w:rsidRPr="00A446F8" w:rsidRDefault="00A446F8" w:rsidP="00A446F8">
            <w:pPr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EB9C"/>
            <w:noWrap/>
            <w:vAlign w:val="center"/>
            <w:hideMark/>
          </w:tcPr>
          <w:p w14:paraId="1B327E33" w14:textId="77777777" w:rsidR="00A446F8" w:rsidRPr="00A446F8" w:rsidRDefault="00A446F8" w:rsidP="00A446F8">
            <w:pPr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  <w:t> 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EB9C"/>
            <w:vAlign w:val="center"/>
            <w:hideMark/>
          </w:tcPr>
          <w:p w14:paraId="7B203514" w14:textId="77777777" w:rsidR="00A446F8" w:rsidRPr="00A446F8" w:rsidRDefault="00A446F8" w:rsidP="00A446F8">
            <w:pPr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EB9C"/>
            <w:noWrap/>
            <w:vAlign w:val="center"/>
            <w:hideMark/>
          </w:tcPr>
          <w:p w14:paraId="1DA13635" w14:textId="77777777" w:rsidR="00A446F8" w:rsidRPr="00A446F8" w:rsidRDefault="00A446F8" w:rsidP="00A446F8">
            <w:pPr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EB9C"/>
            <w:noWrap/>
            <w:vAlign w:val="center"/>
            <w:hideMark/>
          </w:tcPr>
          <w:p w14:paraId="4CA93F22" w14:textId="77777777" w:rsidR="00A446F8" w:rsidRPr="00A446F8" w:rsidRDefault="00A446F8" w:rsidP="00A446F8">
            <w:pPr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</w:pPr>
            <w:r w:rsidRPr="00A446F8"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  <w:t> </w:t>
            </w:r>
          </w:p>
        </w:tc>
      </w:tr>
    </w:tbl>
    <w:p w14:paraId="52D5157E" w14:textId="53A6586A" w:rsidR="00A446F8" w:rsidRDefault="00A446F8" w:rsidP="00EC1B1E">
      <w:pPr>
        <w:ind w:right="515"/>
        <w:jc w:val="both"/>
        <w:rPr>
          <w:rFonts w:ascii="Arial" w:hAnsi="Arial" w:cs="Arial"/>
          <w:szCs w:val="22"/>
        </w:rPr>
      </w:pPr>
    </w:p>
    <w:p w14:paraId="2F9ACBF3" w14:textId="608F0344" w:rsidR="00A446F8" w:rsidRDefault="00A446F8" w:rsidP="00EC1B1E">
      <w:pPr>
        <w:ind w:right="515"/>
        <w:jc w:val="both"/>
        <w:rPr>
          <w:rFonts w:ascii="Arial" w:hAnsi="Arial" w:cs="Arial"/>
          <w:szCs w:val="22"/>
        </w:rPr>
      </w:pPr>
    </w:p>
    <w:p w14:paraId="697D274F" w14:textId="0159F937" w:rsidR="00A446F8" w:rsidRDefault="00A446F8" w:rsidP="00EC1B1E">
      <w:pPr>
        <w:ind w:right="515"/>
        <w:jc w:val="both"/>
        <w:rPr>
          <w:rFonts w:ascii="Arial" w:hAnsi="Arial" w:cs="Arial"/>
          <w:szCs w:val="22"/>
        </w:rPr>
      </w:pPr>
    </w:p>
    <w:p w14:paraId="73BA5B97" w14:textId="77777777" w:rsidR="00A446F8" w:rsidRDefault="00A446F8" w:rsidP="00EC1B1E">
      <w:pPr>
        <w:ind w:right="515"/>
        <w:jc w:val="both"/>
        <w:rPr>
          <w:rFonts w:ascii="Arial" w:hAnsi="Arial" w:cs="Arial"/>
          <w:szCs w:val="22"/>
        </w:rPr>
      </w:pPr>
    </w:p>
    <w:p w14:paraId="6696578A" w14:textId="30A92D77" w:rsidR="00EC1B1E" w:rsidRDefault="00EC1B1E" w:rsidP="00EC1B1E">
      <w:pPr>
        <w:ind w:right="515"/>
        <w:jc w:val="both"/>
        <w:rPr>
          <w:rFonts w:ascii="Arial" w:hAnsi="Arial" w:cs="Arial"/>
          <w:szCs w:val="22"/>
        </w:rPr>
      </w:pPr>
    </w:p>
    <w:p w14:paraId="6541EA05" w14:textId="4F14A4A7" w:rsidR="00EC1B1E" w:rsidRDefault="00EC1B1E" w:rsidP="00EC1B1E">
      <w:pPr>
        <w:ind w:right="515"/>
        <w:jc w:val="both"/>
        <w:rPr>
          <w:rFonts w:ascii="Arial" w:hAnsi="Arial" w:cs="Arial"/>
          <w:szCs w:val="22"/>
        </w:rPr>
      </w:pPr>
    </w:p>
    <w:p w14:paraId="65FD849D" w14:textId="49D57518" w:rsidR="00A446F8" w:rsidRDefault="00A446F8" w:rsidP="00EC1B1E">
      <w:pPr>
        <w:ind w:right="515"/>
        <w:jc w:val="both"/>
        <w:rPr>
          <w:rFonts w:ascii="Arial" w:hAnsi="Arial" w:cs="Arial"/>
          <w:szCs w:val="22"/>
        </w:rPr>
      </w:pPr>
    </w:p>
    <w:p w14:paraId="1CF9EF70" w14:textId="3B636DBC" w:rsidR="00A446F8" w:rsidRDefault="00A446F8" w:rsidP="00EC1B1E">
      <w:pPr>
        <w:ind w:right="515"/>
        <w:jc w:val="both"/>
        <w:rPr>
          <w:rFonts w:ascii="Arial" w:hAnsi="Arial" w:cs="Arial"/>
          <w:szCs w:val="22"/>
        </w:rPr>
      </w:pPr>
    </w:p>
    <w:p w14:paraId="70759B29" w14:textId="6ACE7A3D" w:rsidR="00A446F8" w:rsidRDefault="00A446F8" w:rsidP="00EC1B1E">
      <w:pPr>
        <w:ind w:right="515"/>
        <w:jc w:val="both"/>
        <w:rPr>
          <w:rFonts w:ascii="Arial" w:hAnsi="Arial" w:cs="Arial"/>
          <w:szCs w:val="22"/>
        </w:rPr>
      </w:pPr>
    </w:p>
    <w:p w14:paraId="0E346A3A" w14:textId="77777777" w:rsidR="00A446F8" w:rsidRDefault="00A446F8" w:rsidP="00EC1B1E">
      <w:pPr>
        <w:ind w:right="515"/>
        <w:jc w:val="both"/>
        <w:rPr>
          <w:rFonts w:ascii="Arial" w:hAnsi="Arial" w:cs="Arial"/>
          <w:szCs w:val="22"/>
        </w:rPr>
      </w:pPr>
    </w:p>
    <w:p w14:paraId="424F7E5D" w14:textId="77777777" w:rsidR="00EC1B1E" w:rsidRDefault="00EC1B1E" w:rsidP="00EC1B1E">
      <w:pPr>
        <w:ind w:right="515" w:firstLine="720"/>
        <w:jc w:val="both"/>
        <w:rPr>
          <w:rFonts w:ascii="Arial" w:hAnsi="Arial" w:cs="Arial"/>
          <w:szCs w:val="22"/>
        </w:rPr>
      </w:pPr>
    </w:p>
    <w:p w14:paraId="048AF148" w14:textId="19748165" w:rsidR="00B64F70" w:rsidRPr="00C90EB5" w:rsidRDefault="00B64F70" w:rsidP="00B64F70">
      <w:pPr>
        <w:ind w:right="515"/>
        <w:jc w:val="both"/>
        <w:rPr>
          <w:rFonts w:ascii="Arial" w:hAnsi="Arial" w:cs="Arial"/>
          <w:b/>
          <w:szCs w:val="22"/>
        </w:rPr>
      </w:pPr>
      <w:r w:rsidRPr="00C90EB5">
        <w:rPr>
          <w:rFonts w:ascii="Arial" w:hAnsi="Arial" w:cs="Arial"/>
          <w:b/>
          <w:szCs w:val="22"/>
        </w:rPr>
        <w:lastRenderedPageBreak/>
        <w:t>PROGRAM: 5</w:t>
      </w:r>
      <w:r>
        <w:rPr>
          <w:rFonts w:ascii="Arial" w:hAnsi="Arial" w:cs="Arial"/>
          <w:b/>
          <w:szCs w:val="22"/>
        </w:rPr>
        <w:t>3</w:t>
      </w:r>
      <w:r w:rsidRPr="00C90EB5">
        <w:rPr>
          <w:rFonts w:ascii="Arial" w:hAnsi="Arial" w:cs="Arial"/>
          <w:b/>
          <w:szCs w:val="22"/>
        </w:rPr>
        <w:t xml:space="preserve">01 </w:t>
      </w:r>
      <w:r>
        <w:rPr>
          <w:rFonts w:ascii="Arial" w:hAnsi="Arial" w:cs="Arial"/>
          <w:b/>
          <w:szCs w:val="22"/>
        </w:rPr>
        <w:t>Osnovnoškolsko</w:t>
      </w:r>
      <w:r w:rsidRPr="00C90EB5">
        <w:rPr>
          <w:rFonts w:ascii="Arial" w:hAnsi="Arial" w:cs="Arial"/>
          <w:b/>
          <w:szCs w:val="22"/>
        </w:rPr>
        <w:t xml:space="preserve"> obrazovanje</w:t>
      </w:r>
    </w:p>
    <w:p w14:paraId="6156FF8A" w14:textId="77777777" w:rsidR="00B64F70" w:rsidRDefault="00B64F70" w:rsidP="00B64F70">
      <w:pPr>
        <w:ind w:right="515"/>
        <w:jc w:val="both"/>
        <w:rPr>
          <w:rFonts w:ascii="Arial" w:hAnsi="Arial" w:cs="Arial"/>
          <w:b/>
          <w:szCs w:val="22"/>
        </w:rPr>
      </w:pPr>
    </w:p>
    <w:p w14:paraId="61964DA9" w14:textId="5650D748" w:rsidR="00B64F70" w:rsidRPr="00C90EB5" w:rsidRDefault="00B64F70" w:rsidP="00B64F70">
      <w:pPr>
        <w:ind w:right="515"/>
        <w:jc w:val="both"/>
        <w:rPr>
          <w:rFonts w:ascii="Arial" w:hAnsi="Arial" w:cs="Arial"/>
          <w:b/>
          <w:szCs w:val="22"/>
        </w:rPr>
      </w:pPr>
      <w:r w:rsidRPr="00C90EB5">
        <w:rPr>
          <w:rFonts w:ascii="Arial" w:hAnsi="Arial" w:cs="Arial"/>
          <w:b/>
          <w:szCs w:val="22"/>
        </w:rPr>
        <w:t>A 5</w:t>
      </w:r>
      <w:r>
        <w:rPr>
          <w:rFonts w:ascii="Arial" w:hAnsi="Arial" w:cs="Arial"/>
          <w:b/>
          <w:szCs w:val="22"/>
        </w:rPr>
        <w:t>3</w:t>
      </w:r>
      <w:r w:rsidRPr="00C90EB5">
        <w:rPr>
          <w:rFonts w:ascii="Arial" w:hAnsi="Arial" w:cs="Arial"/>
          <w:b/>
          <w:szCs w:val="22"/>
        </w:rPr>
        <w:t>0101 Osiguravanje uvjeta rada</w:t>
      </w:r>
    </w:p>
    <w:p w14:paraId="5E2E4840" w14:textId="6A392ACB" w:rsidR="00B64F70" w:rsidRDefault="00B64F70" w:rsidP="00B64F70">
      <w:pPr>
        <w:ind w:right="515"/>
        <w:jc w:val="both"/>
        <w:rPr>
          <w:rFonts w:ascii="Arial" w:hAnsi="Arial" w:cs="Arial"/>
          <w:szCs w:val="22"/>
        </w:rPr>
      </w:pPr>
      <w:r w:rsidRPr="00C90EB5">
        <w:rPr>
          <w:rFonts w:ascii="Arial" w:hAnsi="Arial" w:cs="Arial"/>
          <w:szCs w:val="22"/>
        </w:rPr>
        <w:t xml:space="preserve">Predlaže se povećanje u iznosu od </w:t>
      </w:r>
      <w:r w:rsidR="007A0F5F">
        <w:rPr>
          <w:rFonts w:ascii="Arial" w:hAnsi="Arial" w:cs="Arial"/>
          <w:szCs w:val="22"/>
        </w:rPr>
        <w:t>35.948,88</w:t>
      </w:r>
      <w:r w:rsidR="00A446F8">
        <w:rPr>
          <w:rFonts w:ascii="Arial" w:hAnsi="Arial" w:cs="Arial"/>
          <w:szCs w:val="22"/>
        </w:rPr>
        <w:t xml:space="preserve"> EUR</w:t>
      </w:r>
      <w:r w:rsidRPr="00C90EB5">
        <w:rPr>
          <w:rFonts w:ascii="Arial" w:hAnsi="Arial" w:cs="Arial"/>
          <w:szCs w:val="22"/>
        </w:rPr>
        <w:t xml:space="preserve"> (</w:t>
      </w:r>
      <w:r>
        <w:rPr>
          <w:rFonts w:ascii="Arial" w:hAnsi="Arial" w:cs="Arial"/>
          <w:szCs w:val="22"/>
        </w:rPr>
        <w:t>1,</w:t>
      </w:r>
      <w:r w:rsidR="007A0F5F">
        <w:rPr>
          <w:rFonts w:ascii="Arial" w:hAnsi="Arial" w:cs="Arial"/>
          <w:szCs w:val="22"/>
        </w:rPr>
        <w:t>6</w:t>
      </w:r>
      <w:r w:rsidR="00A446F8">
        <w:rPr>
          <w:rFonts w:ascii="Arial" w:hAnsi="Arial" w:cs="Arial"/>
          <w:szCs w:val="22"/>
        </w:rPr>
        <w:t>4</w:t>
      </w:r>
      <w:r w:rsidRPr="00C90EB5">
        <w:rPr>
          <w:rFonts w:ascii="Arial" w:hAnsi="Arial" w:cs="Arial"/>
          <w:szCs w:val="22"/>
        </w:rPr>
        <w:t xml:space="preserve">%) </w:t>
      </w:r>
      <w:r>
        <w:rPr>
          <w:rFonts w:ascii="Arial" w:hAnsi="Arial" w:cs="Arial"/>
          <w:szCs w:val="22"/>
        </w:rPr>
        <w:t xml:space="preserve">u skladu </w:t>
      </w:r>
      <w:r w:rsidRPr="00C90EB5">
        <w:rPr>
          <w:rFonts w:ascii="Arial" w:hAnsi="Arial" w:cs="Arial"/>
          <w:szCs w:val="22"/>
        </w:rPr>
        <w:t xml:space="preserve">s očekivanim rashodima do kraja </w:t>
      </w:r>
      <w:r>
        <w:rPr>
          <w:rFonts w:ascii="Arial" w:hAnsi="Arial" w:cs="Arial"/>
          <w:szCs w:val="22"/>
        </w:rPr>
        <w:t>proračunske</w:t>
      </w:r>
      <w:r w:rsidRPr="00C90EB5">
        <w:rPr>
          <w:rFonts w:ascii="Arial" w:hAnsi="Arial" w:cs="Arial"/>
          <w:szCs w:val="22"/>
        </w:rPr>
        <w:t xml:space="preserve"> godine što uključuje povećanje</w:t>
      </w:r>
      <w:r w:rsidR="00A446F8">
        <w:rPr>
          <w:rFonts w:ascii="Arial" w:hAnsi="Arial" w:cs="Arial"/>
          <w:szCs w:val="22"/>
        </w:rPr>
        <w:t xml:space="preserve"> rashoda za zaposlene, materijalnih</w:t>
      </w:r>
      <w:r>
        <w:rPr>
          <w:rFonts w:ascii="Arial" w:hAnsi="Arial" w:cs="Arial"/>
          <w:szCs w:val="22"/>
        </w:rPr>
        <w:t xml:space="preserve"> rashoda i ostalih naknada građanima u novcu i u naravi uz istovremeno smanjenje financijskih rashoda</w:t>
      </w:r>
      <w:r w:rsidR="00633ECC">
        <w:rPr>
          <w:rFonts w:ascii="Arial" w:hAnsi="Arial" w:cs="Arial"/>
          <w:szCs w:val="22"/>
        </w:rPr>
        <w:t>.</w:t>
      </w:r>
    </w:p>
    <w:p w14:paraId="58167BA5" w14:textId="77777777" w:rsidR="00633ECC" w:rsidRDefault="00633ECC" w:rsidP="00633ECC">
      <w:pPr>
        <w:ind w:right="515"/>
        <w:jc w:val="both"/>
        <w:rPr>
          <w:rFonts w:ascii="Arial" w:hAnsi="Arial" w:cs="Arial"/>
          <w:b/>
          <w:szCs w:val="22"/>
        </w:rPr>
      </w:pPr>
    </w:p>
    <w:p w14:paraId="3C04A373" w14:textId="4FF531E3" w:rsidR="00633ECC" w:rsidRPr="00C90EB5" w:rsidRDefault="00633ECC" w:rsidP="00633ECC">
      <w:pPr>
        <w:ind w:right="515"/>
        <w:jc w:val="both"/>
        <w:rPr>
          <w:rFonts w:ascii="Arial" w:hAnsi="Arial" w:cs="Arial"/>
          <w:b/>
          <w:szCs w:val="22"/>
        </w:rPr>
      </w:pPr>
      <w:r w:rsidRPr="00C90EB5">
        <w:rPr>
          <w:rFonts w:ascii="Arial" w:hAnsi="Arial" w:cs="Arial"/>
          <w:b/>
          <w:szCs w:val="22"/>
        </w:rPr>
        <w:t>A 5</w:t>
      </w:r>
      <w:r>
        <w:rPr>
          <w:rFonts w:ascii="Arial" w:hAnsi="Arial" w:cs="Arial"/>
          <w:b/>
          <w:szCs w:val="22"/>
        </w:rPr>
        <w:t>3</w:t>
      </w:r>
      <w:r w:rsidRPr="00C90EB5">
        <w:rPr>
          <w:rFonts w:ascii="Arial" w:hAnsi="Arial" w:cs="Arial"/>
          <w:b/>
          <w:szCs w:val="22"/>
        </w:rPr>
        <w:t>01</w:t>
      </w:r>
      <w:r>
        <w:rPr>
          <w:rFonts w:ascii="Arial" w:hAnsi="Arial" w:cs="Arial"/>
          <w:b/>
          <w:szCs w:val="22"/>
        </w:rPr>
        <w:t>07</w:t>
      </w:r>
      <w:r w:rsidRPr="00C90EB5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Prehrana za učenike u osnovnim školama</w:t>
      </w:r>
    </w:p>
    <w:p w14:paraId="18FF3B3C" w14:textId="7E0C817F" w:rsidR="00633ECC" w:rsidRDefault="00633ECC" w:rsidP="00633ECC">
      <w:pPr>
        <w:ind w:right="515"/>
        <w:jc w:val="both"/>
        <w:rPr>
          <w:rFonts w:ascii="Arial" w:hAnsi="Arial" w:cs="Arial"/>
          <w:szCs w:val="22"/>
        </w:rPr>
      </w:pPr>
      <w:r w:rsidRPr="00C90EB5">
        <w:rPr>
          <w:rFonts w:ascii="Arial" w:hAnsi="Arial" w:cs="Arial"/>
          <w:szCs w:val="22"/>
        </w:rPr>
        <w:t xml:space="preserve">Predlaže se povećanje u iznosu od </w:t>
      </w:r>
      <w:r>
        <w:rPr>
          <w:rFonts w:ascii="Arial" w:hAnsi="Arial" w:cs="Arial"/>
          <w:szCs w:val="22"/>
        </w:rPr>
        <w:t>6.000,00 EUR</w:t>
      </w:r>
      <w:r w:rsidRPr="00C90EB5">
        <w:rPr>
          <w:rFonts w:ascii="Arial" w:hAnsi="Arial" w:cs="Arial"/>
          <w:szCs w:val="22"/>
        </w:rPr>
        <w:t xml:space="preserve"> (</w:t>
      </w:r>
      <w:r>
        <w:rPr>
          <w:rFonts w:ascii="Arial" w:hAnsi="Arial" w:cs="Arial"/>
          <w:szCs w:val="22"/>
        </w:rPr>
        <w:t>4,41</w:t>
      </w:r>
      <w:r w:rsidRPr="00C90EB5">
        <w:rPr>
          <w:rFonts w:ascii="Arial" w:hAnsi="Arial" w:cs="Arial"/>
          <w:szCs w:val="22"/>
        </w:rPr>
        <w:t xml:space="preserve">%) </w:t>
      </w:r>
      <w:r>
        <w:rPr>
          <w:rFonts w:ascii="Arial" w:hAnsi="Arial" w:cs="Arial"/>
          <w:szCs w:val="22"/>
        </w:rPr>
        <w:t xml:space="preserve">u skladu </w:t>
      </w:r>
      <w:r w:rsidRPr="00C90EB5">
        <w:rPr>
          <w:rFonts w:ascii="Arial" w:hAnsi="Arial" w:cs="Arial"/>
          <w:szCs w:val="22"/>
        </w:rPr>
        <w:t xml:space="preserve">s očekivanim rashodima do kraja </w:t>
      </w:r>
      <w:r>
        <w:rPr>
          <w:rFonts w:ascii="Arial" w:hAnsi="Arial" w:cs="Arial"/>
          <w:szCs w:val="22"/>
        </w:rPr>
        <w:t>proračunske</w:t>
      </w:r>
      <w:r w:rsidRPr="00C90EB5">
        <w:rPr>
          <w:rFonts w:ascii="Arial" w:hAnsi="Arial" w:cs="Arial"/>
          <w:szCs w:val="22"/>
        </w:rPr>
        <w:t xml:space="preserve"> godine</w:t>
      </w:r>
      <w:r>
        <w:rPr>
          <w:rFonts w:ascii="Arial" w:hAnsi="Arial" w:cs="Arial"/>
          <w:szCs w:val="22"/>
        </w:rPr>
        <w:t>.</w:t>
      </w:r>
    </w:p>
    <w:p w14:paraId="12903914" w14:textId="77777777" w:rsidR="00633ECC" w:rsidRDefault="00633ECC" w:rsidP="00633ECC">
      <w:pPr>
        <w:ind w:right="515"/>
        <w:jc w:val="both"/>
        <w:rPr>
          <w:rFonts w:ascii="Arial" w:hAnsi="Arial" w:cs="Arial"/>
          <w:b/>
          <w:szCs w:val="22"/>
        </w:rPr>
      </w:pPr>
    </w:p>
    <w:p w14:paraId="15A97D32" w14:textId="77777777" w:rsidR="00B64F70" w:rsidRDefault="00B64F70" w:rsidP="0018394A">
      <w:pPr>
        <w:ind w:right="515"/>
        <w:jc w:val="both"/>
        <w:rPr>
          <w:rFonts w:ascii="Arial" w:hAnsi="Arial" w:cs="Arial"/>
          <w:b/>
          <w:szCs w:val="22"/>
        </w:rPr>
      </w:pPr>
    </w:p>
    <w:p w14:paraId="5DF469C7" w14:textId="77777777" w:rsidR="00B64F70" w:rsidRDefault="00B64F70" w:rsidP="0018394A">
      <w:pPr>
        <w:ind w:right="515"/>
        <w:jc w:val="both"/>
        <w:rPr>
          <w:rFonts w:ascii="Arial" w:hAnsi="Arial" w:cs="Arial"/>
          <w:b/>
          <w:szCs w:val="22"/>
        </w:rPr>
      </w:pPr>
    </w:p>
    <w:p w14:paraId="027EB71B" w14:textId="6B07CB28" w:rsidR="004368F4" w:rsidRPr="00C90EB5" w:rsidRDefault="004368F4" w:rsidP="0018394A">
      <w:pPr>
        <w:ind w:right="515"/>
        <w:jc w:val="both"/>
        <w:rPr>
          <w:rFonts w:ascii="Arial" w:hAnsi="Arial" w:cs="Arial"/>
          <w:b/>
          <w:szCs w:val="22"/>
        </w:rPr>
      </w:pPr>
      <w:r w:rsidRPr="00C90EB5">
        <w:rPr>
          <w:rFonts w:ascii="Arial" w:hAnsi="Arial" w:cs="Arial"/>
          <w:b/>
          <w:szCs w:val="22"/>
        </w:rPr>
        <w:t>PROGRAM: 5</w:t>
      </w:r>
      <w:r w:rsidR="00886E45">
        <w:rPr>
          <w:rFonts w:ascii="Arial" w:hAnsi="Arial" w:cs="Arial"/>
          <w:b/>
          <w:szCs w:val="22"/>
        </w:rPr>
        <w:t>3</w:t>
      </w:r>
      <w:r w:rsidRPr="00C90EB5">
        <w:rPr>
          <w:rFonts w:ascii="Arial" w:hAnsi="Arial" w:cs="Arial"/>
          <w:b/>
          <w:szCs w:val="22"/>
        </w:rPr>
        <w:t>02 Unapređenje kvalitete odgojno-obrazovnog sustava</w:t>
      </w:r>
    </w:p>
    <w:p w14:paraId="52433929" w14:textId="77777777" w:rsidR="003000E6" w:rsidRDefault="003000E6" w:rsidP="0018394A">
      <w:pPr>
        <w:ind w:right="515"/>
        <w:jc w:val="both"/>
        <w:rPr>
          <w:rFonts w:ascii="Arial" w:hAnsi="Arial" w:cs="Arial"/>
          <w:b/>
          <w:szCs w:val="22"/>
        </w:rPr>
      </w:pPr>
    </w:p>
    <w:p w14:paraId="0B72F11A" w14:textId="5377DD50" w:rsidR="009846FD" w:rsidRPr="00C90EB5" w:rsidRDefault="009846FD" w:rsidP="009846FD">
      <w:pPr>
        <w:ind w:right="515"/>
        <w:jc w:val="both"/>
        <w:rPr>
          <w:rFonts w:ascii="Arial" w:hAnsi="Arial" w:cs="Arial"/>
          <w:b/>
          <w:szCs w:val="22"/>
        </w:rPr>
      </w:pPr>
      <w:r w:rsidRPr="00C90EB5">
        <w:rPr>
          <w:rFonts w:ascii="Arial" w:hAnsi="Arial" w:cs="Arial"/>
          <w:b/>
          <w:szCs w:val="22"/>
        </w:rPr>
        <w:t>A 5</w:t>
      </w:r>
      <w:r>
        <w:rPr>
          <w:rFonts w:ascii="Arial" w:hAnsi="Arial" w:cs="Arial"/>
          <w:b/>
          <w:szCs w:val="22"/>
        </w:rPr>
        <w:t>3</w:t>
      </w:r>
      <w:r w:rsidRPr="00C90EB5">
        <w:rPr>
          <w:rFonts w:ascii="Arial" w:hAnsi="Arial" w:cs="Arial"/>
          <w:b/>
          <w:szCs w:val="22"/>
        </w:rPr>
        <w:t>0</w:t>
      </w:r>
      <w:r>
        <w:rPr>
          <w:rFonts w:ascii="Arial" w:hAnsi="Arial" w:cs="Arial"/>
          <w:b/>
          <w:szCs w:val="22"/>
        </w:rPr>
        <w:t>202</w:t>
      </w:r>
      <w:r w:rsidRPr="00C90EB5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Produženi boravak učenika -putnika</w:t>
      </w:r>
    </w:p>
    <w:p w14:paraId="539832E2" w14:textId="318916AB" w:rsidR="009846FD" w:rsidRDefault="009846FD" w:rsidP="009846FD">
      <w:pPr>
        <w:ind w:right="515"/>
        <w:jc w:val="both"/>
        <w:rPr>
          <w:rFonts w:ascii="Arial" w:hAnsi="Arial" w:cs="Arial"/>
          <w:szCs w:val="22"/>
        </w:rPr>
      </w:pPr>
      <w:r w:rsidRPr="00C90EB5">
        <w:rPr>
          <w:rFonts w:ascii="Arial" w:hAnsi="Arial" w:cs="Arial"/>
          <w:szCs w:val="22"/>
        </w:rPr>
        <w:t xml:space="preserve">Predlaže se povećanje u iznosu od </w:t>
      </w:r>
      <w:r>
        <w:rPr>
          <w:rFonts w:ascii="Arial" w:hAnsi="Arial" w:cs="Arial"/>
          <w:szCs w:val="22"/>
        </w:rPr>
        <w:t>7.620,47 EUR</w:t>
      </w:r>
      <w:r w:rsidRPr="00C90EB5">
        <w:rPr>
          <w:rFonts w:ascii="Arial" w:hAnsi="Arial" w:cs="Arial"/>
          <w:szCs w:val="22"/>
        </w:rPr>
        <w:t xml:space="preserve"> (</w:t>
      </w:r>
      <w:r>
        <w:rPr>
          <w:rFonts w:ascii="Arial" w:hAnsi="Arial" w:cs="Arial"/>
          <w:szCs w:val="22"/>
        </w:rPr>
        <w:t>2,48</w:t>
      </w:r>
      <w:r w:rsidRPr="00C90EB5">
        <w:rPr>
          <w:rFonts w:ascii="Arial" w:hAnsi="Arial" w:cs="Arial"/>
          <w:szCs w:val="22"/>
        </w:rPr>
        <w:t xml:space="preserve">%) </w:t>
      </w:r>
      <w:r>
        <w:rPr>
          <w:rFonts w:ascii="Arial" w:hAnsi="Arial" w:cs="Arial"/>
          <w:szCs w:val="22"/>
        </w:rPr>
        <w:t xml:space="preserve">u skladu </w:t>
      </w:r>
      <w:r w:rsidRPr="00C90EB5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 već realiziranim rashodima</w:t>
      </w:r>
      <w:r w:rsidRPr="00C90EB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i procijenjenim  rashodima</w:t>
      </w:r>
      <w:r w:rsidRPr="00C90EB5">
        <w:rPr>
          <w:rFonts w:ascii="Arial" w:hAnsi="Arial" w:cs="Arial"/>
          <w:szCs w:val="22"/>
        </w:rPr>
        <w:t xml:space="preserve"> do kraja </w:t>
      </w:r>
      <w:r>
        <w:rPr>
          <w:rFonts w:ascii="Arial" w:hAnsi="Arial" w:cs="Arial"/>
          <w:szCs w:val="22"/>
        </w:rPr>
        <w:t>proračunske</w:t>
      </w:r>
      <w:r w:rsidRPr="00C90EB5">
        <w:rPr>
          <w:rFonts w:ascii="Arial" w:hAnsi="Arial" w:cs="Arial"/>
          <w:szCs w:val="22"/>
        </w:rPr>
        <w:t xml:space="preserve"> godine</w:t>
      </w:r>
      <w:r>
        <w:rPr>
          <w:rFonts w:ascii="Arial" w:hAnsi="Arial" w:cs="Arial"/>
          <w:szCs w:val="22"/>
        </w:rPr>
        <w:t>.</w:t>
      </w:r>
    </w:p>
    <w:p w14:paraId="10E4EA09" w14:textId="77777777" w:rsidR="009846FD" w:rsidRDefault="009846FD" w:rsidP="009846FD">
      <w:pPr>
        <w:ind w:right="515"/>
        <w:jc w:val="both"/>
        <w:rPr>
          <w:rFonts w:ascii="Arial" w:hAnsi="Arial" w:cs="Arial"/>
          <w:b/>
          <w:szCs w:val="22"/>
        </w:rPr>
      </w:pPr>
    </w:p>
    <w:p w14:paraId="3DF69EB5" w14:textId="6F5F2311" w:rsidR="00B64F70" w:rsidRDefault="00B64F70" w:rsidP="0018394A">
      <w:pPr>
        <w:ind w:right="515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 530209 Sufinanciranje rada pomoćnika u nastavi</w:t>
      </w:r>
    </w:p>
    <w:p w14:paraId="16AEF9C4" w14:textId="7AA820A0" w:rsidR="00B64F70" w:rsidRPr="009846FD" w:rsidRDefault="009846FD" w:rsidP="0018394A">
      <w:pPr>
        <w:ind w:right="515"/>
        <w:jc w:val="both"/>
        <w:rPr>
          <w:rFonts w:ascii="Arial" w:hAnsi="Arial" w:cs="Arial"/>
          <w:szCs w:val="22"/>
        </w:rPr>
      </w:pPr>
      <w:r w:rsidRPr="009846FD">
        <w:rPr>
          <w:rFonts w:ascii="Arial" w:hAnsi="Arial" w:cs="Arial"/>
          <w:szCs w:val="22"/>
        </w:rPr>
        <w:t>Predlaže se smanjenje rashoda za zaposlene u iznosu od 2.884,61 EUR</w:t>
      </w:r>
      <w:r>
        <w:rPr>
          <w:rFonts w:ascii="Arial" w:hAnsi="Arial" w:cs="Arial"/>
          <w:szCs w:val="22"/>
        </w:rPr>
        <w:t xml:space="preserve"> (1,57 %).</w:t>
      </w:r>
    </w:p>
    <w:p w14:paraId="031239F4" w14:textId="77777777" w:rsidR="00B64F70" w:rsidRDefault="00B64F70" w:rsidP="0018394A">
      <w:pPr>
        <w:ind w:right="515"/>
        <w:jc w:val="both"/>
        <w:rPr>
          <w:rFonts w:ascii="Arial" w:hAnsi="Arial" w:cs="Arial"/>
          <w:b/>
          <w:szCs w:val="22"/>
        </w:rPr>
      </w:pPr>
    </w:p>
    <w:p w14:paraId="77F4B621" w14:textId="53ADDF3B" w:rsidR="0018394A" w:rsidRPr="00C90EB5" w:rsidRDefault="0018394A" w:rsidP="0018394A">
      <w:pPr>
        <w:ind w:right="515"/>
        <w:jc w:val="both"/>
        <w:rPr>
          <w:rFonts w:ascii="Arial" w:hAnsi="Arial" w:cs="Arial"/>
          <w:b/>
          <w:szCs w:val="22"/>
        </w:rPr>
      </w:pPr>
      <w:r w:rsidRPr="00C90EB5">
        <w:rPr>
          <w:rFonts w:ascii="Arial" w:hAnsi="Arial" w:cs="Arial"/>
          <w:b/>
          <w:szCs w:val="22"/>
        </w:rPr>
        <w:t>A 5</w:t>
      </w:r>
      <w:r w:rsidR="00B64F70">
        <w:rPr>
          <w:rFonts w:ascii="Arial" w:hAnsi="Arial" w:cs="Arial"/>
          <w:b/>
          <w:szCs w:val="22"/>
        </w:rPr>
        <w:t>302</w:t>
      </w:r>
      <w:r w:rsidR="0028703B">
        <w:rPr>
          <w:rFonts w:ascii="Arial" w:hAnsi="Arial" w:cs="Arial"/>
          <w:b/>
          <w:szCs w:val="22"/>
        </w:rPr>
        <w:t>39</w:t>
      </w:r>
      <w:r w:rsidRPr="00C90EB5">
        <w:rPr>
          <w:rFonts w:ascii="Arial" w:hAnsi="Arial" w:cs="Arial"/>
          <w:b/>
          <w:szCs w:val="22"/>
        </w:rPr>
        <w:t xml:space="preserve"> </w:t>
      </w:r>
      <w:r w:rsidR="0028703B">
        <w:rPr>
          <w:rFonts w:ascii="Arial" w:hAnsi="Arial" w:cs="Arial"/>
          <w:b/>
          <w:szCs w:val="22"/>
        </w:rPr>
        <w:t>Županijska škola plivanja</w:t>
      </w:r>
    </w:p>
    <w:p w14:paraId="01FC17D6" w14:textId="09D33738" w:rsidR="007A1774" w:rsidRDefault="00124EA6" w:rsidP="0018394A">
      <w:pPr>
        <w:ind w:right="515"/>
        <w:jc w:val="both"/>
        <w:rPr>
          <w:rFonts w:ascii="Arial" w:hAnsi="Arial" w:cs="Arial"/>
          <w:szCs w:val="22"/>
        </w:rPr>
      </w:pPr>
      <w:r w:rsidRPr="00CC3A2C">
        <w:rPr>
          <w:rFonts w:ascii="Arial" w:hAnsi="Arial" w:cs="Arial"/>
          <w:szCs w:val="22"/>
        </w:rPr>
        <w:t>U okviru I. izmjena i dopuna financijskog plana</w:t>
      </w:r>
      <w:r w:rsidR="0028703B">
        <w:rPr>
          <w:rFonts w:ascii="Arial" w:hAnsi="Arial" w:cs="Arial"/>
          <w:szCs w:val="22"/>
        </w:rPr>
        <w:t xml:space="preserve"> predlaže se u skladu sa sklopljenim ugovorom smanjenje u iznosu od 270,00 EUR (4,25 %).</w:t>
      </w:r>
    </w:p>
    <w:p w14:paraId="06FA1E10" w14:textId="77777777" w:rsidR="0028703B" w:rsidRDefault="0028703B" w:rsidP="0018394A">
      <w:pPr>
        <w:ind w:right="515"/>
        <w:jc w:val="both"/>
        <w:rPr>
          <w:rFonts w:ascii="Arial" w:hAnsi="Arial" w:cs="Arial"/>
          <w:szCs w:val="22"/>
        </w:rPr>
      </w:pPr>
    </w:p>
    <w:p w14:paraId="3100551D" w14:textId="03D31BA5" w:rsidR="0028703B" w:rsidRDefault="0028703B" w:rsidP="0018394A">
      <w:pPr>
        <w:ind w:right="515"/>
        <w:jc w:val="both"/>
        <w:rPr>
          <w:rFonts w:ascii="Arial" w:hAnsi="Arial" w:cs="Arial"/>
          <w:szCs w:val="22"/>
        </w:rPr>
      </w:pPr>
    </w:p>
    <w:p w14:paraId="0741FEA8" w14:textId="77777777" w:rsidR="0028703B" w:rsidRPr="00C90EB5" w:rsidRDefault="0028703B" w:rsidP="0028703B">
      <w:pPr>
        <w:ind w:right="515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</w:t>
      </w:r>
      <w:r w:rsidRPr="00C90EB5">
        <w:rPr>
          <w:rFonts w:ascii="Arial" w:hAnsi="Arial" w:cs="Arial"/>
          <w:b/>
          <w:szCs w:val="22"/>
        </w:rPr>
        <w:t>ROGRAM: 5306 Obilježavanje postignuća učenika i nastavnika</w:t>
      </w:r>
    </w:p>
    <w:p w14:paraId="7F193144" w14:textId="77777777" w:rsidR="0028703B" w:rsidRPr="00C90EB5" w:rsidRDefault="0028703B" w:rsidP="0028703B">
      <w:pPr>
        <w:ind w:right="515"/>
        <w:jc w:val="both"/>
        <w:rPr>
          <w:rFonts w:ascii="Arial" w:hAnsi="Arial" w:cs="Arial"/>
          <w:b/>
          <w:szCs w:val="22"/>
        </w:rPr>
      </w:pPr>
      <w:r w:rsidRPr="00C90EB5">
        <w:rPr>
          <w:rFonts w:ascii="Arial" w:hAnsi="Arial" w:cs="Arial"/>
          <w:b/>
          <w:szCs w:val="22"/>
        </w:rPr>
        <w:t>A 5503060</w:t>
      </w:r>
      <w:r>
        <w:rPr>
          <w:rFonts w:ascii="Arial" w:hAnsi="Arial" w:cs="Arial"/>
          <w:b/>
          <w:szCs w:val="22"/>
        </w:rPr>
        <w:t>4</w:t>
      </w:r>
      <w:r w:rsidRPr="00C90EB5">
        <w:rPr>
          <w:rFonts w:ascii="Arial" w:hAnsi="Arial" w:cs="Arial"/>
          <w:b/>
          <w:szCs w:val="22"/>
        </w:rPr>
        <w:t xml:space="preserve"> Natjecanja i smotre</w:t>
      </w:r>
    </w:p>
    <w:p w14:paraId="04840C38" w14:textId="624A8396" w:rsidR="0028703B" w:rsidRPr="00C90EB5" w:rsidRDefault="0028703B" w:rsidP="0028703B">
      <w:pPr>
        <w:ind w:right="515"/>
        <w:jc w:val="both"/>
        <w:rPr>
          <w:rFonts w:ascii="Arial" w:hAnsi="Arial" w:cs="Arial"/>
          <w:szCs w:val="22"/>
        </w:rPr>
      </w:pPr>
      <w:r w:rsidRPr="00CC3A2C">
        <w:rPr>
          <w:rFonts w:ascii="Arial" w:hAnsi="Arial" w:cs="Arial"/>
          <w:szCs w:val="22"/>
        </w:rPr>
        <w:t xml:space="preserve">U okviru I. izmjena i dopuna financijskog plana </w:t>
      </w:r>
      <w:r>
        <w:rPr>
          <w:rFonts w:ascii="Arial" w:hAnsi="Arial" w:cs="Arial"/>
          <w:szCs w:val="22"/>
        </w:rPr>
        <w:t>planirano je smanjenje materijalnih rashoda u iznosu 2.000,00 eura(43,48 %).</w:t>
      </w:r>
    </w:p>
    <w:p w14:paraId="58D58667" w14:textId="77777777" w:rsidR="0028703B" w:rsidRDefault="0028703B" w:rsidP="0028703B">
      <w:pPr>
        <w:ind w:right="515"/>
        <w:jc w:val="both"/>
        <w:rPr>
          <w:rFonts w:ascii="Arial" w:hAnsi="Arial" w:cs="Arial"/>
          <w:szCs w:val="22"/>
        </w:rPr>
      </w:pPr>
      <w:r w:rsidRPr="00C90EB5">
        <w:rPr>
          <w:rFonts w:ascii="Arial" w:hAnsi="Arial" w:cs="Arial"/>
          <w:szCs w:val="22"/>
        </w:rPr>
        <w:t xml:space="preserve"> </w:t>
      </w:r>
    </w:p>
    <w:p w14:paraId="25C38B7F" w14:textId="77777777" w:rsidR="0028703B" w:rsidRPr="00C90EB5" w:rsidRDefault="0028703B" w:rsidP="00124EA6">
      <w:pPr>
        <w:ind w:right="515"/>
        <w:jc w:val="both"/>
        <w:rPr>
          <w:rFonts w:ascii="Arial" w:hAnsi="Arial" w:cs="Arial"/>
          <w:szCs w:val="22"/>
        </w:rPr>
      </w:pPr>
    </w:p>
    <w:p w14:paraId="1AEB2D6D" w14:textId="77777777" w:rsidR="008D6A36" w:rsidRPr="00C90EB5" w:rsidRDefault="008D6A36" w:rsidP="0018394A">
      <w:pPr>
        <w:ind w:right="515"/>
        <w:jc w:val="both"/>
        <w:rPr>
          <w:rFonts w:ascii="Arial" w:hAnsi="Arial" w:cs="Arial"/>
          <w:szCs w:val="22"/>
        </w:rPr>
      </w:pPr>
    </w:p>
    <w:p w14:paraId="4B3A728F" w14:textId="4C6B0DA9" w:rsidR="004368F4" w:rsidRPr="00C90EB5" w:rsidRDefault="004368F4" w:rsidP="0018394A">
      <w:pPr>
        <w:ind w:right="515"/>
        <w:jc w:val="both"/>
        <w:rPr>
          <w:rFonts w:ascii="Arial" w:hAnsi="Arial" w:cs="Arial"/>
          <w:b/>
          <w:szCs w:val="22"/>
        </w:rPr>
      </w:pPr>
      <w:r w:rsidRPr="00C90EB5">
        <w:rPr>
          <w:rFonts w:ascii="Arial" w:hAnsi="Arial" w:cs="Arial"/>
          <w:b/>
          <w:szCs w:val="22"/>
        </w:rPr>
        <w:t>PROGRAM: 5</w:t>
      </w:r>
      <w:r w:rsidR="009530DE">
        <w:rPr>
          <w:rFonts w:ascii="Arial" w:hAnsi="Arial" w:cs="Arial"/>
          <w:b/>
          <w:szCs w:val="22"/>
        </w:rPr>
        <w:t>308</w:t>
      </w:r>
      <w:r w:rsidRPr="00C90EB5">
        <w:rPr>
          <w:rFonts w:ascii="Arial" w:hAnsi="Arial" w:cs="Arial"/>
          <w:b/>
          <w:szCs w:val="22"/>
        </w:rPr>
        <w:t xml:space="preserve"> Kapitalna ulaganja u odgojno obrazovnu infrastrukturu</w:t>
      </w:r>
    </w:p>
    <w:p w14:paraId="1C49A820" w14:textId="5FA70BD9" w:rsidR="0018394A" w:rsidRDefault="0018394A" w:rsidP="0018394A">
      <w:pPr>
        <w:ind w:right="515"/>
        <w:jc w:val="both"/>
        <w:rPr>
          <w:rFonts w:ascii="Arial" w:hAnsi="Arial" w:cs="Arial"/>
          <w:b/>
          <w:szCs w:val="22"/>
        </w:rPr>
      </w:pPr>
      <w:r w:rsidRPr="00C90EB5">
        <w:rPr>
          <w:rFonts w:ascii="Arial" w:hAnsi="Arial" w:cs="Arial"/>
          <w:b/>
          <w:szCs w:val="22"/>
        </w:rPr>
        <w:t>K 5</w:t>
      </w:r>
      <w:r w:rsidR="009530DE">
        <w:rPr>
          <w:rFonts w:ascii="Arial" w:hAnsi="Arial" w:cs="Arial"/>
          <w:b/>
          <w:szCs w:val="22"/>
        </w:rPr>
        <w:t>3</w:t>
      </w:r>
      <w:r w:rsidRPr="00C90EB5">
        <w:rPr>
          <w:rFonts w:ascii="Arial" w:hAnsi="Arial" w:cs="Arial"/>
          <w:b/>
          <w:szCs w:val="22"/>
        </w:rPr>
        <w:t>0</w:t>
      </w:r>
      <w:r w:rsidR="009530DE">
        <w:rPr>
          <w:rFonts w:ascii="Arial" w:hAnsi="Arial" w:cs="Arial"/>
          <w:b/>
          <w:szCs w:val="22"/>
        </w:rPr>
        <w:t>8</w:t>
      </w:r>
      <w:r w:rsidRPr="00C90EB5">
        <w:rPr>
          <w:rFonts w:ascii="Arial" w:hAnsi="Arial" w:cs="Arial"/>
          <w:b/>
          <w:szCs w:val="22"/>
        </w:rPr>
        <w:t>01 Opremanje ustanova školstva</w:t>
      </w:r>
    </w:p>
    <w:p w14:paraId="51ED0DF4" w14:textId="2C7A524A" w:rsidR="003000E6" w:rsidRDefault="0028703B" w:rsidP="00691426">
      <w:pPr>
        <w:ind w:right="515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Povećanje rashoda u iznosu od 1.700,00 EUR</w:t>
      </w:r>
      <w:r w:rsidR="0016510D">
        <w:rPr>
          <w:rFonts w:ascii="Arial" w:hAnsi="Arial" w:cs="Arial"/>
          <w:szCs w:val="22"/>
        </w:rPr>
        <w:t>(25,48%)</w:t>
      </w:r>
      <w:r>
        <w:rPr>
          <w:rFonts w:ascii="Arial" w:hAnsi="Arial" w:cs="Arial"/>
          <w:szCs w:val="22"/>
        </w:rPr>
        <w:t xml:space="preserve"> odnosi se na rashode za nabavu dugotrajne imovine iz izvora pri</w:t>
      </w:r>
      <w:r w:rsidR="0016510D">
        <w:rPr>
          <w:rFonts w:ascii="Arial" w:hAnsi="Arial" w:cs="Arial"/>
          <w:szCs w:val="22"/>
        </w:rPr>
        <w:t xml:space="preserve">hodi </w:t>
      </w:r>
      <w:r>
        <w:rPr>
          <w:rFonts w:ascii="Arial" w:hAnsi="Arial" w:cs="Arial"/>
          <w:szCs w:val="22"/>
        </w:rPr>
        <w:t>za posebne namje</w:t>
      </w:r>
      <w:r w:rsidR="0016510D">
        <w:rPr>
          <w:rFonts w:ascii="Arial" w:hAnsi="Arial" w:cs="Arial"/>
          <w:szCs w:val="22"/>
        </w:rPr>
        <w:t>ne.</w:t>
      </w:r>
    </w:p>
    <w:p w14:paraId="6BB3AEF5" w14:textId="674BD12E" w:rsidR="0016510D" w:rsidRDefault="0016510D" w:rsidP="00691426">
      <w:pPr>
        <w:ind w:right="515"/>
        <w:jc w:val="both"/>
        <w:rPr>
          <w:rFonts w:ascii="Arial" w:hAnsi="Arial" w:cs="Arial"/>
          <w:szCs w:val="22"/>
        </w:rPr>
      </w:pPr>
    </w:p>
    <w:p w14:paraId="62A4CC5E" w14:textId="7D468C9F" w:rsidR="0016510D" w:rsidRDefault="0016510D" w:rsidP="00691426">
      <w:pPr>
        <w:ind w:right="515"/>
        <w:jc w:val="both"/>
        <w:rPr>
          <w:rFonts w:ascii="Arial" w:hAnsi="Arial" w:cs="Arial"/>
          <w:szCs w:val="22"/>
        </w:rPr>
      </w:pPr>
    </w:p>
    <w:p w14:paraId="168DA7F3" w14:textId="5370D63D" w:rsidR="00D1648B" w:rsidRDefault="00D1648B" w:rsidP="00691426">
      <w:pPr>
        <w:ind w:right="515"/>
        <w:jc w:val="both"/>
        <w:rPr>
          <w:rFonts w:ascii="Arial" w:hAnsi="Arial" w:cs="Arial"/>
          <w:szCs w:val="22"/>
        </w:rPr>
      </w:pPr>
    </w:p>
    <w:p w14:paraId="2AD7CE82" w14:textId="341A1DBB" w:rsidR="00D1648B" w:rsidRDefault="00D1648B" w:rsidP="00691426">
      <w:pPr>
        <w:ind w:right="515"/>
        <w:jc w:val="both"/>
        <w:rPr>
          <w:rFonts w:ascii="Arial" w:hAnsi="Arial" w:cs="Arial"/>
          <w:szCs w:val="22"/>
        </w:rPr>
      </w:pPr>
    </w:p>
    <w:p w14:paraId="68F353DE" w14:textId="77777777" w:rsidR="00D1648B" w:rsidRDefault="00D1648B" w:rsidP="00691426">
      <w:pPr>
        <w:ind w:right="515"/>
        <w:jc w:val="both"/>
        <w:rPr>
          <w:rFonts w:ascii="Arial" w:hAnsi="Arial" w:cs="Arial"/>
          <w:szCs w:val="22"/>
        </w:rPr>
      </w:pPr>
    </w:p>
    <w:p w14:paraId="0E3D1AF1" w14:textId="17BA9B75" w:rsidR="003000E6" w:rsidRPr="00C90EB5" w:rsidRDefault="00124EA6" w:rsidP="00691426">
      <w:pPr>
        <w:ind w:right="51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 </w:t>
      </w:r>
      <w:r w:rsidR="00D1648B">
        <w:rPr>
          <w:rFonts w:ascii="Arial" w:hAnsi="Arial" w:cs="Arial"/>
          <w:szCs w:val="22"/>
        </w:rPr>
        <w:t>Matuljima</w:t>
      </w:r>
      <w:r>
        <w:rPr>
          <w:rFonts w:ascii="Arial" w:hAnsi="Arial" w:cs="Arial"/>
          <w:szCs w:val="22"/>
        </w:rPr>
        <w:t xml:space="preserve">, </w:t>
      </w:r>
      <w:r w:rsidR="0001512B">
        <w:rPr>
          <w:rFonts w:ascii="Arial" w:hAnsi="Arial" w:cs="Arial"/>
          <w:szCs w:val="22"/>
        </w:rPr>
        <w:t>2</w:t>
      </w:r>
      <w:r w:rsidR="00AE64D9">
        <w:rPr>
          <w:rFonts w:ascii="Arial" w:hAnsi="Arial" w:cs="Arial"/>
          <w:szCs w:val="22"/>
        </w:rPr>
        <w:t>9</w:t>
      </w:r>
      <w:r w:rsidR="00182391">
        <w:rPr>
          <w:rFonts w:ascii="Arial" w:hAnsi="Arial" w:cs="Arial"/>
          <w:szCs w:val="22"/>
        </w:rPr>
        <w:t xml:space="preserve">. </w:t>
      </w:r>
      <w:r w:rsidR="0001512B">
        <w:rPr>
          <w:rFonts w:ascii="Arial" w:hAnsi="Arial" w:cs="Arial"/>
          <w:szCs w:val="22"/>
        </w:rPr>
        <w:t>lipnja</w:t>
      </w:r>
      <w:r w:rsidR="008705DF">
        <w:rPr>
          <w:rFonts w:ascii="Arial" w:hAnsi="Arial" w:cs="Arial"/>
          <w:szCs w:val="22"/>
        </w:rPr>
        <w:t xml:space="preserve"> 202</w:t>
      </w:r>
      <w:r w:rsidR="0028703B">
        <w:rPr>
          <w:rFonts w:ascii="Arial" w:hAnsi="Arial" w:cs="Arial"/>
          <w:szCs w:val="22"/>
        </w:rPr>
        <w:t>6</w:t>
      </w:r>
      <w:r w:rsidR="00182391">
        <w:rPr>
          <w:rFonts w:ascii="Arial" w:hAnsi="Arial" w:cs="Arial"/>
          <w:szCs w:val="22"/>
        </w:rPr>
        <w:t>. godine</w:t>
      </w:r>
    </w:p>
    <w:p w14:paraId="593F4619" w14:textId="77777777" w:rsidR="00E508C0" w:rsidRPr="00C90EB5" w:rsidRDefault="00E508C0" w:rsidP="00691426">
      <w:pPr>
        <w:ind w:right="515"/>
        <w:jc w:val="both"/>
        <w:rPr>
          <w:rFonts w:ascii="Arial" w:hAnsi="Arial" w:cs="Arial"/>
          <w:szCs w:val="22"/>
        </w:rPr>
      </w:pPr>
    </w:p>
    <w:p w14:paraId="54921ACF" w14:textId="5174907B" w:rsidR="0001512B" w:rsidRDefault="00D36C45" w:rsidP="00AC1C37">
      <w:pPr>
        <w:ind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B46133" w:rsidRPr="00C90EB5">
        <w:rPr>
          <w:rFonts w:ascii="Arial" w:hAnsi="Arial" w:cs="Arial"/>
          <w:szCs w:val="22"/>
        </w:rPr>
        <w:tab/>
      </w:r>
      <w:r w:rsidR="003000E6">
        <w:rPr>
          <w:rFonts w:ascii="Arial" w:hAnsi="Arial" w:cs="Arial"/>
          <w:szCs w:val="22"/>
        </w:rPr>
        <w:tab/>
      </w:r>
      <w:r w:rsidR="003000E6">
        <w:rPr>
          <w:rFonts w:ascii="Arial" w:hAnsi="Arial" w:cs="Arial"/>
          <w:szCs w:val="22"/>
        </w:rPr>
        <w:tab/>
      </w:r>
      <w:r w:rsidR="0001512B" w:rsidRPr="0001512B">
        <w:rPr>
          <w:rFonts w:ascii="Arial" w:hAnsi="Arial" w:cs="Arial"/>
          <w:szCs w:val="22"/>
        </w:rPr>
        <w:t>Ravnateljica</w:t>
      </w:r>
    </w:p>
    <w:p w14:paraId="7FD7B01F" w14:textId="77777777" w:rsidR="00AC1C37" w:rsidRPr="0001512B" w:rsidRDefault="00AC1C37" w:rsidP="00AC1C37">
      <w:pPr>
        <w:ind w:firstLine="708"/>
        <w:jc w:val="both"/>
        <w:rPr>
          <w:rFonts w:ascii="Arial" w:hAnsi="Arial" w:cs="Arial"/>
          <w:szCs w:val="22"/>
        </w:rPr>
      </w:pPr>
    </w:p>
    <w:p w14:paraId="041B6593" w14:textId="05812053" w:rsidR="0001512B" w:rsidRPr="0001512B" w:rsidRDefault="0001512B" w:rsidP="0001512B">
      <w:pPr>
        <w:ind w:left="4248"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01512B">
        <w:rPr>
          <w:rFonts w:ascii="Arial" w:hAnsi="Arial" w:cs="Arial"/>
          <w:szCs w:val="22"/>
        </w:rPr>
        <w:t xml:space="preserve">Astrid </w:t>
      </w:r>
      <w:proofErr w:type="spellStart"/>
      <w:r w:rsidRPr="0001512B">
        <w:rPr>
          <w:rFonts w:ascii="Arial" w:hAnsi="Arial" w:cs="Arial"/>
          <w:szCs w:val="22"/>
        </w:rPr>
        <w:t>Massari</w:t>
      </w:r>
      <w:proofErr w:type="spellEnd"/>
      <w:r w:rsidRPr="0001512B">
        <w:rPr>
          <w:rFonts w:ascii="Arial" w:hAnsi="Arial" w:cs="Arial"/>
          <w:szCs w:val="22"/>
        </w:rPr>
        <w:t xml:space="preserve"> </w:t>
      </w:r>
      <w:proofErr w:type="spellStart"/>
      <w:r w:rsidRPr="0001512B">
        <w:rPr>
          <w:rFonts w:ascii="Arial" w:hAnsi="Arial" w:cs="Arial"/>
          <w:szCs w:val="22"/>
        </w:rPr>
        <w:t>dipl.učitelj</w:t>
      </w:r>
      <w:proofErr w:type="spellEnd"/>
    </w:p>
    <w:p w14:paraId="1AC4DB34" w14:textId="2A145ADF" w:rsidR="00E002E2" w:rsidRPr="00C90EB5" w:rsidRDefault="00E002E2" w:rsidP="0001512B">
      <w:pPr>
        <w:ind w:right="515"/>
        <w:rPr>
          <w:rFonts w:ascii="Arial" w:hAnsi="Arial" w:cs="Arial"/>
          <w:szCs w:val="22"/>
        </w:rPr>
      </w:pPr>
    </w:p>
    <w:sectPr w:rsidR="00E002E2" w:rsidRPr="00C90EB5" w:rsidSect="00EF22FC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C8F6" w14:textId="77777777" w:rsidR="00343772" w:rsidRDefault="00343772" w:rsidP="000960DF">
      <w:r>
        <w:separator/>
      </w:r>
    </w:p>
  </w:endnote>
  <w:endnote w:type="continuationSeparator" w:id="0">
    <w:p w14:paraId="19EE3449" w14:textId="77777777" w:rsidR="00343772" w:rsidRDefault="00343772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altName w:val="Montserrat Light"/>
    <w:charset w:val="EE"/>
    <w:family w:val="auto"/>
    <w:pitch w:val="variable"/>
    <w:sig w:usb0="2000020F" w:usb1="00000003" w:usb2="00000000" w:usb3="00000000" w:csb0="00000197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B148F" w14:textId="77777777" w:rsidR="00343772" w:rsidRDefault="00343772" w:rsidP="000960DF">
      <w:r>
        <w:separator/>
      </w:r>
    </w:p>
  </w:footnote>
  <w:footnote w:type="continuationSeparator" w:id="0">
    <w:p w14:paraId="141EFEB9" w14:textId="77777777" w:rsidR="00343772" w:rsidRDefault="00343772" w:rsidP="00096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236"/>
    <w:multiLevelType w:val="hybridMultilevel"/>
    <w:tmpl w:val="9FDC26C2"/>
    <w:lvl w:ilvl="0" w:tplc="18D0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C39C0"/>
    <w:multiLevelType w:val="hybridMultilevel"/>
    <w:tmpl w:val="2A4E6A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118C2"/>
    <w:multiLevelType w:val="hybridMultilevel"/>
    <w:tmpl w:val="763EC0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27F14"/>
    <w:multiLevelType w:val="hybridMultilevel"/>
    <w:tmpl w:val="CB46C9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B525E"/>
    <w:multiLevelType w:val="hybridMultilevel"/>
    <w:tmpl w:val="4E0C7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2117"/>
    <w:multiLevelType w:val="hybridMultilevel"/>
    <w:tmpl w:val="FB9C2712"/>
    <w:lvl w:ilvl="0" w:tplc="A5540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31613"/>
    <w:multiLevelType w:val="hybridMultilevel"/>
    <w:tmpl w:val="BAA622E4"/>
    <w:lvl w:ilvl="0" w:tplc="2E5E3B1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ED342FC"/>
    <w:multiLevelType w:val="multilevel"/>
    <w:tmpl w:val="12AE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B14"/>
    <w:rsid w:val="0000588E"/>
    <w:rsid w:val="0001512B"/>
    <w:rsid w:val="000252CF"/>
    <w:rsid w:val="00055B1B"/>
    <w:rsid w:val="000567F0"/>
    <w:rsid w:val="00071433"/>
    <w:rsid w:val="00073378"/>
    <w:rsid w:val="000859DC"/>
    <w:rsid w:val="00087F3B"/>
    <w:rsid w:val="000960DF"/>
    <w:rsid w:val="000A5F3E"/>
    <w:rsid w:val="000A67F2"/>
    <w:rsid w:val="000C4370"/>
    <w:rsid w:val="000D5DD9"/>
    <w:rsid w:val="000E41E0"/>
    <w:rsid w:val="000E7FCB"/>
    <w:rsid w:val="0010362B"/>
    <w:rsid w:val="00106291"/>
    <w:rsid w:val="00120D00"/>
    <w:rsid w:val="00124EA6"/>
    <w:rsid w:val="001647B6"/>
    <w:rsid w:val="0016510D"/>
    <w:rsid w:val="00165CDB"/>
    <w:rsid w:val="001808AE"/>
    <w:rsid w:val="00182391"/>
    <w:rsid w:val="0018394A"/>
    <w:rsid w:val="00191452"/>
    <w:rsid w:val="001917A9"/>
    <w:rsid w:val="001A02C4"/>
    <w:rsid w:val="001A7E09"/>
    <w:rsid w:val="001C4418"/>
    <w:rsid w:val="001F51E3"/>
    <w:rsid w:val="00204677"/>
    <w:rsid w:val="0022557E"/>
    <w:rsid w:val="002264F2"/>
    <w:rsid w:val="00232391"/>
    <w:rsid w:val="00245048"/>
    <w:rsid w:val="00250921"/>
    <w:rsid w:val="002619A4"/>
    <w:rsid w:val="00263E9C"/>
    <w:rsid w:val="00274BCB"/>
    <w:rsid w:val="002845C0"/>
    <w:rsid w:val="00285D65"/>
    <w:rsid w:val="0028703B"/>
    <w:rsid w:val="002E16B8"/>
    <w:rsid w:val="003000E6"/>
    <w:rsid w:val="00306A93"/>
    <w:rsid w:val="00343772"/>
    <w:rsid w:val="00345280"/>
    <w:rsid w:val="003925D9"/>
    <w:rsid w:val="003E6FEB"/>
    <w:rsid w:val="003F06B5"/>
    <w:rsid w:val="004019E2"/>
    <w:rsid w:val="00406974"/>
    <w:rsid w:val="004352E6"/>
    <w:rsid w:val="00435348"/>
    <w:rsid w:val="00436838"/>
    <w:rsid w:val="004368F4"/>
    <w:rsid w:val="0044282D"/>
    <w:rsid w:val="00477260"/>
    <w:rsid w:val="004B3126"/>
    <w:rsid w:val="004F550B"/>
    <w:rsid w:val="00505987"/>
    <w:rsid w:val="00550628"/>
    <w:rsid w:val="00551690"/>
    <w:rsid w:val="00552FEC"/>
    <w:rsid w:val="00564C28"/>
    <w:rsid w:val="00575063"/>
    <w:rsid w:val="0057650F"/>
    <w:rsid w:val="00595280"/>
    <w:rsid w:val="00595F0F"/>
    <w:rsid w:val="005A78FD"/>
    <w:rsid w:val="005C4A87"/>
    <w:rsid w:val="005E5A09"/>
    <w:rsid w:val="005F5AAE"/>
    <w:rsid w:val="00601ECF"/>
    <w:rsid w:val="00611FBE"/>
    <w:rsid w:val="006233E1"/>
    <w:rsid w:val="0062615F"/>
    <w:rsid w:val="00633ECC"/>
    <w:rsid w:val="006373A6"/>
    <w:rsid w:val="0064270C"/>
    <w:rsid w:val="00651D2E"/>
    <w:rsid w:val="006570F7"/>
    <w:rsid w:val="00666E82"/>
    <w:rsid w:val="00667140"/>
    <w:rsid w:val="006728AE"/>
    <w:rsid w:val="00685A64"/>
    <w:rsid w:val="00691426"/>
    <w:rsid w:val="006A0E5C"/>
    <w:rsid w:val="006D4AA0"/>
    <w:rsid w:val="00715870"/>
    <w:rsid w:val="00737489"/>
    <w:rsid w:val="007A0F5F"/>
    <w:rsid w:val="007A1774"/>
    <w:rsid w:val="007C42B7"/>
    <w:rsid w:val="007C49BB"/>
    <w:rsid w:val="008222C4"/>
    <w:rsid w:val="008705DF"/>
    <w:rsid w:val="0087462D"/>
    <w:rsid w:val="00882DB1"/>
    <w:rsid w:val="00886E45"/>
    <w:rsid w:val="008A1495"/>
    <w:rsid w:val="008D6A36"/>
    <w:rsid w:val="008F6A70"/>
    <w:rsid w:val="0090202E"/>
    <w:rsid w:val="00907568"/>
    <w:rsid w:val="0092608C"/>
    <w:rsid w:val="00947F5B"/>
    <w:rsid w:val="009530DE"/>
    <w:rsid w:val="0095777C"/>
    <w:rsid w:val="00963897"/>
    <w:rsid w:val="009677B7"/>
    <w:rsid w:val="0097124F"/>
    <w:rsid w:val="009820AD"/>
    <w:rsid w:val="009846FD"/>
    <w:rsid w:val="009A3F45"/>
    <w:rsid w:val="009A4389"/>
    <w:rsid w:val="009A642A"/>
    <w:rsid w:val="00A243F8"/>
    <w:rsid w:val="00A32E6B"/>
    <w:rsid w:val="00A340E6"/>
    <w:rsid w:val="00A446F8"/>
    <w:rsid w:val="00A62046"/>
    <w:rsid w:val="00A631DE"/>
    <w:rsid w:val="00A73B57"/>
    <w:rsid w:val="00A857D6"/>
    <w:rsid w:val="00AC1C37"/>
    <w:rsid w:val="00AD4411"/>
    <w:rsid w:val="00AE64D9"/>
    <w:rsid w:val="00AE715F"/>
    <w:rsid w:val="00B11714"/>
    <w:rsid w:val="00B46133"/>
    <w:rsid w:val="00B522C8"/>
    <w:rsid w:val="00B64F70"/>
    <w:rsid w:val="00B81998"/>
    <w:rsid w:val="00BA61AC"/>
    <w:rsid w:val="00BB17DE"/>
    <w:rsid w:val="00BE3AE7"/>
    <w:rsid w:val="00C13AE4"/>
    <w:rsid w:val="00C26D62"/>
    <w:rsid w:val="00C63008"/>
    <w:rsid w:val="00C90EB5"/>
    <w:rsid w:val="00CB71AB"/>
    <w:rsid w:val="00CC0ABD"/>
    <w:rsid w:val="00CC3A2C"/>
    <w:rsid w:val="00CD7B14"/>
    <w:rsid w:val="00CE2D62"/>
    <w:rsid w:val="00CF1CB9"/>
    <w:rsid w:val="00CF7021"/>
    <w:rsid w:val="00D14BAD"/>
    <w:rsid w:val="00D1648B"/>
    <w:rsid w:val="00D36C45"/>
    <w:rsid w:val="00D3702B"/>
    <w:rsid w:val="00D53482"/>
    <w:rsid w:val="00D55E5B"/>
    <w:rsid w:val="00DB1303"/>
    <w:rsid w:val="00DB7F0B"/>
    <w:rsid w:val="00E002E2"/>
    <w:rsid w:val="00E0206C"/>
    <w:rsid w:val="00E508C0"/>
    <w:rsid w:val="00E757CC"/>
    <w:rsid w:val="00EB23C0"/>
    <w:rsid w:val="00EC1B1E"/>
    <w:rsid w:val="00EF2272"/>
    <w:rsid w:val="00EF22FC"/>
    <w:rsid w:val="00F025D5"/>
    <w:rsid w:val="00F15E29"/>
    <w:rsid w:val="00F6465A"/>
    <w:rsid w:val="00F84E66"/>
    <w:rsid w:val="00F97B4C"/>
    <w:rsid w:val="00FA3147"/>
    <w:rsid w:val="00FA5096"/>
    <w:rsid w:val="00FC2BE8"/>
    <w:rsid w:val="00FC7A2A"/>
    <w:rsid w:val="00FD3D12"/>
    <w:rsid w:val="00FE6FD9"/>
    <w:rsid w:val="00FE7651"/>
    <w:rsid w:val="00FF0BE1"/>
    <w:rsid w:val="00FF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535F0FC"/>
  <w15:chartTrackingRefBased/>
  <w15:docId w15:val="{A5802E3F-80D3-45DA-882D-1C16C37D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E002E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7143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1433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120D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RHG%20memo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 (1).dotx</Template>
  <TotalTime>352</TotalTime>
  <Pages>4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Denis Slavić-Sušanj</cp:lastModifiedBy>
  <cp:revision>64</cp:revision>
  <cp:lastPrinted>2026-06-18T05:45:00Z</cp:lastPrinted>
  <dcterms:created xsi:type="dcterms:W3CDTF">2025-09-15T11:35:00Z</dcterms:created>
  <dcterms:modified xsi:type="dcterms:W3CDTF">2026-06-29T08:13:00Z</dcterms:modified>
</cp:coreProperties>
</file>