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E324" w14:textId="77777777" w:rsidR="00384438" w:rsidRDefault="00384438" w:rsidP="00F75EB9">
      <w:pPr>
        <w:rPr>
          <w:rFonts w:ascii="Comic Sans MS" w:hAnsi="Comic Sans MS"/>
          <w:sz w:val="16"/>
          <w:szCs w:val="16"/>
        </w:rPr>
      </w:pPr>
    </w:p>
    <w:p w14:paraId="04CEC701" w14:textId="77777777" w:rsidR="00384438" w:rsidRPr="00B17252" w:rsidRDefault="00384438" w:rsidP="00384438">
      <w:pPr>
        <w:jc w:val="center"/>
        <w:rPr>
          <w:rFonts w:ascii="Comic Sans MS" w:hAnsi="Comic Sans MS"/>
          <w:sz w:val="16"/>
          <w:szCs w:val="16"/>
        </w:rPr>
      </w:pPr>
      <w:r w:rsidRPr="00B17252">
        <w:rPr>
          <w:rFonts w:ascii="Comic Sans MS" w:hAnsi="Comic Sans MS"/>
          <w:sz w:val="16"/>
          <w:szCs w:val="16"/>
        </w:rPr>
        <w:t>REPUBLIKA HRVATSKA</w:t>
      </w:r>
    </w:p>
    <w:p w14:paraId="0BB52CA3" w14:textId="77777777" w:rsidR="00384438" w:rsidRPr="00B17252" w:rsidRDefault="00384438" w:rsidP="00384438">
      <w:pPr>
        <w:jc w:val="center"/>
        <w:rPr>
          <w:rFonts w:ascii="Comic Sans MS" w:hAnsi="Comic Sans MS"/>
          <w:sz w:val="16"/>
          <w:szCs w:val="16"/>
        </w:rPr>
      </w:pPr>
      <w:r w:rsidRPr="00B17252">
        <w:rPr>
          <w:rFonts w:ascii="Comic Sans MS" w:hAnsi="Comic Sans MS"/>
          <w:sz w:val="16"/>
          <w:szCs w:val="16"/>
        </w:rPr>
        <w:t>MINISTARSTVO ZNANOSTI,  OBRAZOVANJA I MLADIH</w:t>
      </w:r>
    </w:p>
    <w:p w14:paraId="407E1054" w14:textId="77777777" w:rsidR="00384438" w:rsidRPr="00B17252" w:rsidRDefault="00384438" w:rsidP="00384438">
      <w:pPr>
        <w:jc w:val="center"/>
        <w:rPr>
          <w:rFonts w:ascii="Comic Sans MS" w:hAnsi="Comic Sans MS"/>
          <w:sz w:val="16"/>
          <w:szCs w:val="16"/>
        </w:rPr>
      </w:pPr>
      <w:r w:rsidRPr="00B17252">
        <w:rPr>
          <w:rFonts w:ascii="Comic Sans MS" w:hAnsi="Comic Sans MS"/>
          <w:sz w:val="16"/>
          <w:szCs w:val="16"/>
        </w:rPr>
        <w:t>PRIMORSKO-GORANSKA ŽUPANIJA</w:t>
      </w:r>
    </w:p>
    <w:p w14:paraId="3F453950" w14:textId="77777777" w:rsidR="00384438" w:rsidRPr="00B17252" w:rsidRDefault="00384438" w:rsidP="00384438">
      <w:pPr>
        <w:jc w:val="center"/>
        <w:rPr>
          <w:rFonts w:ascii="Comic Sans MS" w:hAnsi="Comic Sans MS"/>
          <w:b/>
        </w:rPr>
      </w:pPr>
      <w:r w:rsidRPr="00B17252">
        <w:rPr>
          <w:rFonts w:ascii="Comic Sans MS" w:hAnsi="Comic Sans MS"/>
          <w:b/>
        </w:rPr>
        <w:t>OSNOVNA ŠKOLA «DR. ANDRIJA MOHOROVIČIĆ»</w:t>
      </w:r>
    </w:p>
    <w:p w14:paraId="5DB480E3" w14:textId="77777777" w:rsidR="00384438" w:rsidRPr="00B17252" w:rsidRDefault="00384438" w:rsidP="00384438">
      <w:pPr>
        <w:jc w:val="center"/>
        <w:rPr>
          <w:rFonts w:ascii="Comic Sans MS" w:hAnsi="Comic Sans MS"/>
          <w:sz w:val="20"/>
          <w:szCs w:val="20"/>
        </w:rPr>
      </w:pPr>
      <w:r w:rsidRPr="00B17252">
        <w:rPr>
          <w:rFonts w:ascii="Comic Sans MS" w:hAnsi="Comic Sans MS"/>
          <w:sz w:val="20"/>
          <w:szCs w:val="20"/>
        </w:rPr>
        <w:t>51211 MATULJI,</w:t>
      </w:r>
    </w:p>
    <w:p w14:paraId="70C16199" w14:textId="77777777" w:rsidR="00384438" w:rsidRPr="000907AF" w:rsidRDefault="00384438" w:rsidP="00384438">
      <w:pPr>
        <w:pBdr>
          <w:bottom w:val="single" w:sz="12" w:space="1" w:color="auto"/>
        </w:pBdr>
        <w:jc w:val="center"/>
        <w:rPr>
          <w:rFonts w:ascii="Comic Sans MS" w:hAnsi="Comic Sans MS"/>
          <w:sz w:val="16"/>
          <w:szCs w:val="16"/>
        </w:rPr>
      </w:pPr>
      <w:r w:rsidRPr="00B17252">
        <w:rPr>
          <w:rFonts w:ascii="Comic Sans MS" w:hAnsi="Comic Sans MS"/>
          <w:sz w:val="16"/>
          <w:szCs w:val="16"/>
        </w:rPr>
        <w:t>Šetalište Drage Gervaisa 2</w:t>
      </w:r>
    </w:p>
    <w:p w14:paraId="3C15868C" w14:textId="77777777" w:rsidR="00384438" w:rsidRDefault="00384438">
      <w:pPr>
        <w:rPr>
          <w:rFonts w:ascii="Arial" w:hAnsi="Arial" w:cs="Arial"/>
          <w:b/>
          <w:sz w:val="24"/>
          <w:szCs w:val="24"/>
        </w:rPr>
      </w:pPr>
    </w:p>
    <w:p w14:paraId="5C1094E2" w14:textId="0F0E8BCA" w:rsidR="00602F41" w:rsidRDefault="0057680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Klasa:400-0</w:t>
      </w:r>
      <w:r w:rsidR="00F46221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/2</w:t>
      </w:r>
      <w:r w:rsidR="00F46221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-01/1</w:t>
      </w:r>
    </w:p>
    <w:p w14:paraId="032C8084" w14:textId="22F581F1" w:rsidR="00602F41" w:rsidRDefault="0057680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Urbroj:2156-2</w:t>
      </w:r>
      <w:r w:rsidR="00F46221">
        <w:rPr>
          <w:rFonts w:ascii="Arial" w:hAnsi="Arial" w:cs="Arial"/>
          <w:bCs/>
          <w:sz w:val="24"/>
          <w:szCs w:val="24"/>
        </w:rPr>
        <w:t>5-26-1</w:t>
      </w:r>
    </w:p>
    <w:p w14:paraId="033A272F" w14:textId="6DB991A1" w:rsidR="00384438" w:rsidRDefault="0057680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Matulji 24.03.202</w:t>
      </w:r>
      <w:r w:rsidR="00DB7983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</w:p>
    <w:p w14:paraId="0314CC59" w14:textId="77777777" w:rsidR="00384438" w:rsidRPr="00384438" w:rsidRDefault="00384438">
      <w:pPr>
        <w:rPr>
          <w:rFonts w:ascii="Arial" w:hAnsi="Arial" w:cs="Arial"/>
          <w:bCs/>
          <w:sz w:val="24"/>
          <w:szCs w:val="24"/>
        </w:rPr>
      </w:pPr>
    </w:p>
    <w:p w14:paraId="63B222AD" w14:textId="0B9C3BA7" w:rsidR="00602F41" w:rsidRDefault="005768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OSTVARENJA PRIHODA I RASHODA U ODNOSU NA FINANCIJSKI PLAN OSNOVNE ŠKOLE „DR. ANDRIJA MOHOROVIČIĆ“ MATULJI  ZA  RAZDOBLJE 01.01. - 31.12. 202</w:t>
      </w:r>
      <w:r w:rsidR="00DB798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3E93F42" w14:textId="382DDF7B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izrade i usvajanja polugodišnjih i godišnjih izvještaja o izvršenju financijskog plana proračunskog korisnika propisana je člancima 8</w:t>
      </w:r>
      <w:r w:rsidR="006B62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.-8</w:t>
      </w:r>
      <w:r w:rsidR="006B62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Zakona o proračunu i Pravilnika o polugodišnjem i godišnjem izvještaju o izvršenju proračuna i financijskog plana NN 85/2023 .</w:t>
      </w:r>
    </w:p>
    <w:p w14:paraId="662C9CD8" w14:textId="77777777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člancima 81. st.1. ZOP-a, polugodišnji i godišnji izvještaj o izvršenju financijskog plana  proračunskog korisnika sadrže:</w:t>
      </w:r>
    </w:p>
    <w:p w14:paraId="5889EA73" w14:textId="77777777" w:rsidR="00602F41" w:rsidRDefault="00576808">
      <w:pPr>
        <w:pStyle w:val="Odlomakpopis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proračuna</w:t>
      </w:r>
    </w:p>
    <w:p w14:paraId="3DF431C4" w14:textId="77777777" w:rsidR="00602F41" w:rsidRDefault="00576808">
      <w:pPr>
        <w:pStyle w:val="Odlomakpopis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proračuna</w:t>
      </w:r>
    </w:p>
    <w:p w14:paraId="5C260CEF" w14:textId="77777777" w:rsidR="00602F41" w:rsidRDefault="00576808">
      <w:pPr>
        <w:pStyle w:val="Odlomakpopis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ostvarenja prihoda i primitaka te realizacija rashoda i izdataka</w:t>
      </w:r>
    </w:p>
    <w:p w14:paraId="3ACB19C5" w14:textId="77777777" w:rsidR="00602F41" w:rsidRDefault="00576808">
      <w:pPr>
        <w:pStyle w:val="Odlomakpopis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Posebne izvještaje</w:t>
      </w:r>
    </w:p>
    <w:p w14:paraId="1CA87874" w14:textId="77777777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polugodišnjeg i godišnjeg izvještaja o izvršenju financijskog plana proračunskog korisnika sadrži:</w:t>
      </w:r>
    </w:p>
    <w:p w14:paraId="0621C479" w14:textId="77777777" w:rsidR="00602F41" w:rsidRDefault="00576808">
      <w:pPr>
        <w:pStyle w:val="Odlomakpopisa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 i Račun financiranja</w:t>
      </w:r>
    </w:p>
    <w:p w14:paraId="587B10A0" w14:textId="77777777" w:rsidR="00602F41" w:rsidRDefault="00576808">
      <w:pPr>
        <w:pStyle w:val="Odlomakpopisa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 i Račun financiranja</w:t>
      </w:r>
    </w:p>
    <w:p w14:paraId="0439AC96" w14:textId="77777777" w:rsidR="00602F41" w:rsidRDefault="00576808">
      <w:pPr>
        <w:pStyle w:val="Odlomakpopisa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Preneseni višak ili preneseni manjak prihoda nad rashodima</w:t>
      </w:r>
    </w:p>
    <w:p w14:paraId="339E9D88" w14:textId="77777777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Račun prihoda i rashoda Osnovne škole „Dr. Andrija Mohorovičić“ Matulji sastoji se od prihoda i rashoda iskazanih prema ekonomskoj klasifikaciji, prihodi i rashodi po izvorima financiranja i rashodi iskazani prema funkcijskoj klasifikaciji.</w:t>
      </w:r>
    </w:p>
    <w:p w14:paraId="27436EBF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C4BC8" w14:textId="754B93F1" w:rsidR="00602F41" w:rsidRDefault="00576808">
      <w:pPr>
        <w:pStyle w:val="Odlomakpopisa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 DIO PRORAČUNA</w:t>
      </w:r>
    </w:p>
    <w:p w14:paraId="6F778A72" w14:textId="77777777" w:rsidR="006E40BB" w:rsidRDefault="006E40BB" w:rsidP="006E40BB">
      <w:pPr>
        <w:pStyle w:val="Odlomakpopisa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432EA" w14:textId="77777777" w:rsidR="00602F41" w:rsidRDefault="00576808">
      <w:pPr>
        <w:pStyle w:val="Odlomakpopisa"/>
        <w:numPr>
          <w:ilvl w:val="1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OPĆEG DIJELA</w:t>
      </w:r>
    </w:p>
    <w:p w14:paraId="38520D21" w14:textId="701CF776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sažetka Računa prihoda i rashoda vidljivo je da su u izvještajnom razdoblju ostvareni ukupni prihodi i primici u iznosu od </w:t>
      </w:r>
      <w:r w:rsidR="008A5754">
        <w:rPr>
          <w:rFonts w:ascii="Times New Roman" w:hAnsi="Times New Roman" w:cs="Times New Roman"/>
          <w:sz w:val="24"/>
          <w:szCs w:val="24"/>
        </w:rPr>
        <w:t>2.799.374,46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12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, te realizirani ukupni rashodi i izdaci u iznosu od </w:t>
      </w:r>
      <w:r w:rsidR="008A5754">
        <w:rPr>
          <w:rFonts w:ascii="Times New Roman" w:hAnsi="Times New Roman" w:cs="Times New Roman"/>
          <w:sz w:val="24"/>
          <w:szCs w:val="24"/>
        </w:rPr>
        <w:t>3.000.071,75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12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, rezultat izvještajnog razdoblja je </w:t>
      </w:r>
      <w:r w:rsidR="008A5754">
        <w:rPr>
          <w:rFonts w:ascii="Times New Roman" w:hAnsi="Times New Roman" w:cs="Times New Roman"/>
          <w:sz w:val="24"/>
          <w:szCs w:val="24"/>
        </w:rPr>
        <w:t>manjak</w:t>
      </w:r>
      <w:r>
        <w:rPr>
          <w:rFonts w:ascii="Times New Roman" w:hAnsi="Times New Roman" w:cs="Times New Roman"/>
          <w:sz w:val="24"/>
          <w:szCs w:val="24"/>
        </w:rPr>
        <w:t xml:space="preserve"> prihoda u iznosu od </w:t>
      </w:r>
      <w:r w:rsidR="008A5754">
        <w:rPr>
          <w:rFonts w:ascii="Times New Roman" w:hAnsi="Times New Roman" w:cs="Times New Roman"/>
          <w:sz w:val="24"/>
          <w:szCs w:val="24"/>
        </w:rPr>
        <w:t>200</w:t>
      </w:r>
      <w:r w:rsidR="00F46221">
        <w:rPr>
          <w:rFonts w:ascii="Times New Roman" w:hAnsi="Times New Roman" w:cs="Times New Roman"/>
          <w:sz w:val="24"/>
          <w:szCs w:val="24"/>
        </w:rPr>
        <w:t>.</w:t>
      </w:r>
      <w:r w:rsidR="008A5754">
        <w:rPr>
          <w:rFonts w:ascii="Times New Roman" w:hAnsi="Times New Roman" w:cs="Times New Roman"/>
          <w:sz w:val="24"/>
          <w:szCs w:val="24"/>
        </w:rPr>
        <w:t>617</w:t>
      </w:r>
      <w:r w:rsidR="00F46221">
        <w:rPr>
          <w:rFonts w:ascii="Times New Roman" w:hAnsi="Times New Roman" w:cs="Times New Roman"/>
          <w:sz w:val="24"/>
          <w:szCs w:val="24"/>
        </w:rPr>
        <w:t>,</w:t>
      </w:r>
      <w:r w:rsidR="008A5754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12">
        <w:rPr>
          <w:rFonts w:ascii="Times New Roman" w:hAnsi="Times New Roman" w:cs="Times New Roman"/>
          <w:sz w:val="24"/>
          <w:szCs w:val="24"/>
        </w:rPr>
        <w:t>EUR</w:t>
      </w:r>
      <w:r w:rsidR="00EB458B">
        <w:rPr>
          <w:rFonts w:ascii="Times New Roman" w:hAnsi="Times New Roman" w:cs="Times New Roman"/>
          <w:sz w:val="24"/>
          <w:szCs w:val="24"/>
        </w:rPr>
        <w:t>.</w:t>
      </w:r>
    </w:p>
    <w:p w14:paraId="6C1EF2AD" w14:textId="7A50C1C4" w:rsidR="00EB458B" w:rsidRPr="00EB458B" w:rsidRDefault="00EB458B" w:rsidP="00EB4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58B">
        <w:rPr>
          <w:rFonts w:ascii="Times New Roman" w:hAnsi="Times New Roman" w:cs="Times New Roman"/>
          <w:sz w:val="24"/>
          <w:szCs w:val="24"/>
        </w:rPr>
        <w:t>Manjak prihoda i primitaka izvještajnog razdoblja iznosi 200.617,47 EUR. U izvještajnom razdoblju tekuće godine ostvaren je manjak proračunskih prihoda i primitaka u iznosu od 16.407,57 EUR iz izvora 111 - Porezni i ostali prihodi i izvora 4411 - Prihodi za decentralizirane funkcije. Manjak proračunskih prihoda i primitaka pokrit će se doznakom sredstva Primorsko-goranske županije u 2026. godini. Manjak vanproračunskih prihoda tekuće godine u iznosu od 184.209,90 EUR odnosi se na rashode nastale radi trošenja prenesenih sredstava, rashode iz vlastitih prihoda, na rashode za plaću za mjesec prosinac 2025. godine, rashode za marende, udžbenike i prijevoz učenika koja se financira pomoćima Ministarstva znanosti, obrazovanja i mladih te rashode iz prihoda za posebne namjene. Manjak vanproračunskih prihoda pokrit će se doznakom sredstava iz istih izvora u 2026. godini. Manjak prihoda i primitaka za pokriće u sljedećem razdoblju iznosi 190.636,12 EUR jer je u izvještajno razdoblje prenesen Višak prihoda i primitaka u iznosu od 9.981,35 EUR.</w:t>
      </w:r>
    </w:p>
    <w:p w14:paraId="00C2F278" w14:textId="07268434" w:rsidR="00037FE8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Uspoređujući tekuće podatke s podacima za  isto razdoblje prošle proračunske godine vidljivi su veći ovogodišnji ostvareni prihodi poslovanja, ali i veći ostvareni rashodi škole. Razlog tome su veći prihodi i rashodi za plaće (zaposlenici MZO</w:t>
      </w:r>
      <w:r w:rsidR="00EB458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6 zaposlenih u produženom boravku, 1</w:t>
      </w:r>
      <w:r w:rsidR="006E40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pomoćnika u nastavi), broj odjela je isti kao prošle školske godine.</w:t>
      </w:r>
    </w:p>
    <w:p w14:paraId="17EA0544" w14:textId="07D8B435" w:rsidR="00EB458B" w:rsidRDefault="00EB4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1911" w14:textId="767C6369" w:rsidR="00EB458B" w:rsidRDefault="00EB4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EA2DD" w14:textId="77777777" w:rsidR="00EB458B" w:rsidRDefault="00EB4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7E6F5" w14:textId="77777777" w:rsidR="00602F41" w:rsidRDefault="00576808">
      <w:pPr>
        <w:pStyle w:val="Odlomakpopisa"/>
        <w:numPr>
          <w:ilvl w:val="1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RAČUN PRIHODA I RASHODA PO EKONOMSKOJ KASIFIKACIJI  </w:t>
      </w:r>
    </w:p>
    <w:p w14:paraId="56A3FBDA" w14:textId="77777777" w:rsidR="00602F41" w:rsidRDefault="00576808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i rashodi izvještajnog razdoblja navedeni su u  Računu prihoda i rashoda, dok za Račun financiranja nema nikakvih podataka s obzirom da škola nije imala nikakve poslovne promjene za izvještajno razdoblje. </w:t>
      </w:r>
    </w:p>
    <w:p w14:paraId="6C01B289" w14:textId="77777777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navedeni u Općem dijelu proračuna Škole su zbirni (obuhvaćaju sve prihode i rashode Škole).</w:t>
      </w:r>
    </w:p>
    <w:p w14:paraId="182B1188" w14:textId="77777777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Detaljniji prikaz rashoda i izdataka (po korisnicima, glavama, aktivnostima) nalazi se u Posebnom dijelu proračuna te će biti također obrazloženi. </w:t>
      </w:r>
    </w:p>
    <w:p w14:paraId="474C4747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74376" w14:textId="77777777" w:rsidR="00602F41" w:rsidRDefault="00576808">
      <w:pPr>
        <w:pStyle w:val="Odlomakpopisa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OSTVARENJA PRIHODA I PRIMITAKA, REALIZACIJA RASHODA I IZDATAKA</w:t>
      </w:r>
    </w:p>
    <w:p w14:paraId="32C3E973" w14:textId="77777777" w:rsidR="00602F41" w:rsidRDefault="005768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primici:</w:t>
      </w:r>
    </w:p>
    <w:p w14:paraId="60C54156" w14:textId="6DC795E5" w:rsidR="00012739" w:rsidRDefault="00576808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012739">
        <w:rPr>
          <w:rFonts w:ascii="Times New Roman" w:hAnsi="Times New Roman" w:cs="Times New Roman"/>
          <w:sz w:val="24"/>
          <w:szCs w:val="24"/>
        </w:rPr>
        <w:t>škole</w:t>
      </w:r>
      <w:r>
        <w:rPr>
          <w:rFonts w:ascii="Times New Roman" w:hAnsi="Times New Roman" w:cs="Times New Roman"/>
          <w:sz w:val="24"/>
          <w:szCs w:val="24"/>
        </w:rPr>
        <w:t xml:space="preserve">  ostvareni su u izvještajnom razdoblju u iznosu od </w:t>
      </w:r>
      <w:r w:rsidR="00075037">
        <w:rPr>
          <w:rFonts w:ascii="Times New Roman" w:hAnsi="Times New Roman" w:cs="Times New Roman"/>
          <w:sz w:val="24"/>
          <w:szCs w:val="24"/>
        </w:rPr>
        <w:t xml:space="preserve">2.799.374,46 </w:t>
      </w:r>
      <w:r w:rsidR="00A60C12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  i čin</w:t>
      </w:r>
      <w:r w:rsidR="000127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037">
        <w:rPr>
          <w:rFonts w:ascii="Times New Roman" w:hAnsi="Times New Roman" w:cs="Times New Roman"/>
          <w:sz w:val="24"/>
          <w:szCs w:val="24"/>
        </w:rPr>
        <w:t>91,82</w:t>
      </w:r>
      <w:r>
        <w:rPr>
          <w:rFonts w:ascii="Times New Roman" w:hAnsi="Times New Roman" w:cs="Times New Roman"/>
          <w:sz w:val="24"/>
          <w:szCs w:val="24"/>
        </w:rPr>
        <w:t xml:space="preserve"> % ostvarenja godišnjeg plana.</w:t>
      </w:r>
      <w:r w:rsidR="00012739">
        <w:rPr>
          <w:rFonts w:ascii="Times New Roman" w:hAnsi="Times New Roman" w:cs="Times New Roman"/>
          <w:sz w:val="24"/>
          <w:szCs w:val="24"/>
        </w:rPr>
        <w:t xml:space="preserve"> </w:t>
      </w:r>
      <w:r w:rsidR="00012739" w:rsidRPr="00012739">
        <w:rPr>
          <w:rFonts w:ascii="Times New Roman" w:hAnsi="Times New Roman" w:cs="Times New Roman"/>
          <w:sz w:val="24"/>
          <w:szCs w:val="24"/>
        </w:rPr>
        <w:t>Ostvarenje plana prihoda nešto je niže u odnosu na planirano zbog potrebe uravnoteženja financijskog plana, pri čemu je, uz planirani trinaesti rashod za zaposlene, bilo nužno planirati i odgovarajući izvor prihoda. Navedeni prihod je u fazi planiranja uključen radi postizanja ravnoteže, iako je već tada bilo izvjesno da se isti neće ostvariti u 2025. godini.</w:t>
      </w:r>
    </w:p>
    <w:p w14:paraId="474F9908" w14:textId="53AE9648" w:rsidR="00012739" w:rsidRDefault="00012739">
      <w:pPr>
        <w:spacing w:line="360" w:lineRule="auto"/>
        <w:jc w:val="both"/>
      </w:pPr>
    </w:p>
    <w:p w14:paraId="6BC821D8" w14:textId="77C74590" w:rsidR="00012739" w:rsidRDefault="00012739">
      <w:pPr>
        <w:spacing w:line="360" w:lineRule="auto"/>
        <w:jc w:val="both"/>
      </w:pPr>
    </w:p>
    <w:p w14:paraId="32C4AD4F" w14:textId="3E397D40" w:rsidR="00012739" w:rsidRDefault="00012739">
      <w:pPr>
        <w:spacing w:line="360" w:lineRule="auto"/>
        <w:jc w:val="both"/>
      </w:pPr>
    </w:p>
    <w:p w14:paraId="3E86DA04" w14:textId="56669628" w:rsidR="00012739" w:rsidRDefault="00012739">
      <w:pPr>
        <w:spacing w:line="360" w:lineRule="auto"/>
        <w:jc w:val="both"/>
      </w:pPr>
    </w:p>
    <w:p w14:paraId="389B5A0B" w14:textId="3ADA25D9" w:rsidR="00012739" w:rsidRDefault="00012739">
      <w:pPr>
        <w:spacing w:line="360" w:lineRule="auto"/>
        <w:jc w:val="both"/>
      </w:pPr>
    </w:p>
    <w:p w14:paraId="5DEAC51B" w14:textId="12987D65" w:rsidR="00012739" w:rsidRDefault="00012739">
      <w:pPr>
        <w:spacing w:line="360" w:lineRule="auto"/>
        <w:jc w:val="both"/>
      </w:pPr>
    </w:p>
    <w:p w14:paraId="7F0F4455" w14:textId="07BD7D60" w:rsidR="00012739" w:rsidRDefault="00012739">
      <w:pPr>
        <w:spacing w:line="360" w:lineRule="auto"/>
        <w:jc w:val="both"/>
      </w:pPr>
    </w:p>
    <w:p w14:paraId="0B7F6F2B" w14:textId="77777777" w:rsidR="00012739" w:rsidRPr="00012739" w:rsidRDefault="00012739">
      <w:pPr>
        <w:spacing w:line="360" w:lineRule="auto"/>
        <w:jc w:val="both"/>
      </w:pPr>
    </w:p>
    <w:p w14:paraId="3E9498C6" w14:textId="77777777" w:rsidR="00602F41" w:rsidRDefault="00576808" w:rsidP="00012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Rekapitulacija prihoda po skupinama računa:</w:t>
      </w:r>
    </w:p>
    <w:p w14:paraId="65B5BC7E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page" w:tblpXSpec="center" w:tblpY="-6"/>
        <w:tblW w:w="9357" w:type="dxa"/>
        <w:tblLook w:val="04A0" w:firstRow="1" w:lastRow="0" w:firstColumn="1" w:lastColumn="0" w:noHBand="0" w:noVBand="1"/>
      </w:tblPr>
      <w:tblGrid>
        <w:gridCol w:w="999"/>
        <w:gridCol w:w="2909"/>
        <w:gridCol w:w="1426"/>
        <w:gridCol w:w="1491"/>
        <w:gridCol w:w="1380"/>
        <w:gridCol w:w="1134"/>
        <w:gridCol w:w="18"/>
      </w:tblGrid>
      <w:tr w:rsidR="00602F41" w14:paraId="3E301DD1" w14:textId="77777777">
        <w:trPr>
          <w:trHeight w:val="147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0D2271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Skupina konta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EEF568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konta prihoda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498500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za izvještajno razdoblje prethodne godine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BAAE5B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Izvorni plan ili rebalans</w:t>
            </w:r>
          </w:p>
          <w:p w14:paraId="6B803254" w14:textId="4F487AD2" w:rsidR="00075037" w:rsidRDefault="000750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017BED9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za izvještajno razdoblje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A0147E7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  5/4</w:t>
            </w:r>
          </w:p>
        </w:tc>
      </w:tr>
      <w:tr w:rsidR="00602F41" w14:paraId="3E52621A" w14:textId="77777777">
        <w:trPr>
          <w:trHeight w:val="217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BDE8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451A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5A56E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1C2A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61BC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211F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</w:t>
            </w:r>
          </w:p>
        </w:tc>
      </w:tr>
      <w:tr w:rsidR="00602F41" w14:paraId="0E8BCABF" w14:textId="77777777">
        <w:trPr>
          <w:trHeight w:val="532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4FFD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A73A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Pomoći iz inozemstva i od subjekata unutar opće države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E8A0" w14:textId="32D88D4D" w:rsidR="00602F41" w:rsidRDefault="00075037" w:rsidP="0001273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2.115.395,23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1452" w14:textId="3265EC5A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2.520.076,69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07198" w14:textId="4A49B48C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2.305.125,70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ABF5" w14:textId="533A37AC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91,47</w:t>
            </w:r>
          </w:p>
        </w:tc>
      </w:tr>
      <w:tr w:rsidR="00602F41" w14:paraId="671A9207" w14:textId="77777777">
        <w:trPr>
          <w:trHeight w:val="29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B4DD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53F4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Prihodi od imovine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B765" w14:textId="46F9703A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10,27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56BFE" w14:textId="07269C2F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CC1FE" w14:textId="267DF4C8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16,76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1B7F" w14:textId="74534BA5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167,60</w:t>
            </w:r>
          </w:p>
        </w:tc>
      </w:tr>
      <w:tr w:rsidR="00602F41" w14:paraId="6EF731DF" w14:textId="77777777">
        <w:trPr>
          <w:trHeight w:val="59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DE8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3E53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Prihodi od adm. pristojbi i po posebnim propisima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9CBD" w14:textId="4C4CB1EC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201.417,18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F8E6" w14:textId="3F9EC5DF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214.256,50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8245" w14:textId="301C01EA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203.917,15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6E6E" w14:textId="79274437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95,17</w:t>
            </w:r>
          </w:p>
        </w:tc>
      </w:tr>
      <w:tr w:rsidR="00602F41" w14:paraId="0CEDF0E8" w14:textId="77777777">
        <w:trPr>
          <w:trHeight w:val="517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5E5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4BAA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proizvoda i robe te pruženih usluga  te prihodi od donacija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7872" w14:textId="1BF697EA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1.055,45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9663" w14:textId="21A6FCCE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12.065,45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74029" w14:textId="7B57369A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7.590,22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49D2" w14:textId="3DE7D6E2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62,91</w:t>
            </w:r>
          </w:p>
        </w:tc>
      </w:tr>
      <w:tr w:rsidR="00602F41" w14:paraId="5581BB54" w14:textId="77777777">
        <w:trPr>
          <w:gridAfter w:val="1"/>
          <w:wAfter w:w="18" w:type="dxa"/>
          <w:trHeight w:val="59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B22D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1D2B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Prihodi iz nadležnog proračuna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FCFF" w14:textId="74FF27AB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195.327,84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9E93" w14:textId="0D00FC19" w:rsidR="00602F41" w:rsidRDefault="000750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302.466,78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0425F" w14:textId="28937EB6" w:rsidR="00602F41" w:rsidRDefault="00851B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282.724,63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0F9B" w14:textId="77777777" w:rsidR="00602F41" w:rsidRDefault="00602F4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05665FAA" w14:textId="1C1023E4" w:rsidR="00602F41" w:rsidRDefault="00851B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93,47</w:t>
            </w:r>
          </w:p>
          <w:p w14:paraId="4370B2A2" w14:textId="77777777" w:rsidR="00602F41" w:rsidRDefault="00602F4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602F41" w14:paraId="0114F3B1" w14:textId="77777777">
        <w:trPr>
          <w:gridAfter w:val="1"/>
          <w:wAfter w:w="18" w:type="dxa"/>
          <w:trHeight w:val="59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747B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9343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Prihodi od prodaje proizvedene imovine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3F7E" w14:textId="28B08259" w:rsidR="00602F41" w:rsidRDefault="00851B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73,95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898F" w14:textId="5DEBAFB3" w:rsidR="00602F41" w:rsidRDefault="00851B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9030D" w14:textId="50183E19" w:rsidR="00602F41" w:rsidRDefault="00851B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C3DE" w14:textId="75043D11" w:rsidR="00602F41" w:rsidRDefault="00851B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109,34</w:t>
            </w:r>
          </w:p>
        </w:tc>
      </w:tr>
      <w:tr w:rsidR="00602F41" w14:paraId="5D8EB87D" w14:textId="77777777">
        <w:trPr>
          <w:trHeight w:val="29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9130" w14:textId="77777777" w:rsidR="00602F41" w:rsidRDefault="00602F41"/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A7A4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 PRIHODI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35AE" w14:textId="0E3F1CFB" w:rsidR="00602F41" w:rsidRDefault="00851B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2.513.279,92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1013" w14:textId="14FB1D8F" w:rsidR="00602F41" w:rsidRDefault="00851B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3.048.948,42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4AE20" w14:textId="05882F6B" w:rsidR="00602F41" w:rsidRDefault="00851B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2.799.454,28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D9F7" w14:textId="5E3585D6" w:rsidR="00602F41" w:rsidRDefault="0092171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91,82</w:t>
            </w:r>
          </w:p>
        </w:tc>
      </w:tr>
    </w:tbl>
    <w:p w14:paraId="4748727E" w14:textId="1ECCEAB1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pomoći (skupina 63) ostvareni su </w:t>
      </w:r>
      <w:r w:rsidR="00432EFE">
        <w:rPr>
          <w:rFonts w:ascii="Times New Roman" w:hAnsi="Times New Roman" w:cs="Times New Roman"/>
          <w:sz w:val="24"/>
          <w:szCs w:val="24"/>
        </w:rPr>
        <w:t>91,47</w:t>
      </w:r>
      <w:r>
        <w:rPr>
          <w:rFonts w:ascii="Times New Roman" w:hAnsi="Times New Roman" w:cs="Times New Roman"/>
          <w:sz w:val="24"/>
          <w:szCs w:val="24"/>
        </w:rPr>
        <w:t xml:space="preserve"> % u odnosu na godišnji financijski plan prihoda i primitaka i rashoda i izdataka. Na ovoj skupini konta vode se  pomoći proračunskim korisnicima iz proračuna koji im nije nadležan (skupina 636), a koje se odnose na plaće, materijalna prava zaposlenika, isplate za mentorstva, lektira, udžbenici, sredstva za Županijski aktiv razredne nastave.  U odnosu na proteklo promatrano razdoblje, prihodi su veći, a do povećanja najvećim djelom dolazi  zbog povećanja plaća,  povećano financiranje lokalne samouprave za plaće u produženom boravku, sredstva lokalne samouprave za sufinanciranje ručkova u matičnoj školi.</w:t>
      </w:r>
    </w:p>
    <w:p w14:paraId="415D38DF" w14:textId="01D21514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imovine (skupina 64) odnose se na prihode od financijske imovine koji obuhvaćaju prihode od kamata na depozite po viđenju za račune koji se vode u Erste banci, ostvareni su 1</w:t>
      </w:r>
      <w:r w:rsidR="00432EFE">
        <w:rPr>
          <w:rFonts w:ascii="Times New Roman" w:hAnsi="Times New Roman" w:cs="Times New Roman"/>
          <w:sz w:val="24"/>
          <w:szCs w:val="24"/>
        </w:rPr>
        <w:t>67,60</w:t>
      </w:r>
      <w:r>
        <w:rPr>
          <w:rFonts w:ascii="Times New Roman" w:hAnsi="Times New Roman" w:cs="Times New Roman"/>
          <w:sz w:val="24"/>
          <w:szCs w:val="24"/>
        </w:rPr>
        <w:t>% u odnosu na plan.</w:t>
      </w:r>
    </w:p>
    <w:p w14:paraId="305B8879" w14:textId="0E3E56BC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Prihodi od upravnih i administrativnih pristojbi, pristojbi po posebnim propisima (skupina 65)  ostvareni su 95,</w:t>
      </w:r>
      <w:r w:rsidR="00432EF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% u odnosu na plan, odnose se na prihode za produženi boravak učenika, prijevoz autobusima za terensku nastavu, kino i kazališne predstave koje financiraju roditelji, a računi za prosinac 202</w:t>
      </w:r>
      <w:r w:rsidR="00432E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izdani su krajem prosinca i naplaćeni u siječnju 202</w:t>
      </w:r>
      <w:r w:rsidR="00432EFE">
        <w:rPr>
          <w:rFonts w:ascii="Times New Roman" w:hAnsi="Times New Roman" w:cs="Times New Roman"/>
          <w:sz w:val="24"/>
          <w:szCs w:val="24"/>
        </w:rPr>
        <w:t>6.</w:t>
      </w:r>
    </w:p>
    <w:p w14:paraId="2FFA965E" w14:textId="3B675FC0" w:rsidR="00DC7862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i prihodi od donacija (skupina 66) odnose se na prihode od donacija i ostvareni su </w:t>
      </w:r>
      <w:r w:rsidR="00432EFE">
        <w:rPr>
          <w:rFonts w:ascii="Times New Roman" w:hAnsi="Times New Roman" w:cs="Times New Roman"/>
          <w:sz w:val="24"/>
          <w:szCs w:val="24"/>
        </w:rPr>
        <w:t>62,91</w:t>
      </w:r>
      <w:r>
        <w:rPr>
          <w:rFonts w:ascii="Times New Roman" w:hAnsi="Times New Roman" w:cs="Times New Roman"/>
          <w:sz w:val="24"/>
          <w:szCs w:val="24"/>
        </w:rPr>
        <w:t>%  u odnosu na plan</w:t>
      </w:r>
      <w:r w:rsidR="00DC7862">
        <w:rPr>
          <w:rFonts w:ascii="Times New Roman" w:hAnsi="Times New Roman" w:cs="Times New Roman"/>
          <w:sz w:val="24"/>
          <w:szCs w:val="24"/>
        </w:rPr>
        <w:t>.</w:t>
      </w:r>
    </w:p>
    <w:p w14:paraId="0E6523C8" w14:textId="4963BB8F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(skupina 671) odnose se na prihode koje škola ostvaruje iz proračuna osnivača odnosno Primorsko goranske županije, a odnose se na opće prihode i primitke i na decentralizirana sredstva. Ostvareni su </w:t>
      </w:r>
      <w:r w:rsidR="00432EFE">
        <w:rPr>
          <w:rFonts w:ascii="Times New Roman" w:hAnsi="Times New Roman" w:cs="Times New Roman"/>
          <w:sz w:val="24"/>
          <w:szCs w:val="24"/>
        </w:rPr>
        <w:t>93,47</w:t>
      </w:r>
      <w:r>
        <w:rPr>
          <w:rFonts w:ascii="Times New Roman" w:hAnsi="Times New Roman" w:cs="Times New Roman"/>
          <w:sz w:val="24"/>
          <w:szCs w:val="24"/>
        </w:rPr>
        <w:t>%  u odnosu na plan, za 202</w:t>
      </w:r>
      <w:r w:rsidR="00432E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3C5E">
        <w:rPr>
          <w:rFonts w:ascii="Times New Roman" w:hAnsi="Times New Roman" w:cs="Times New Roman"/>
          <w:sz w:val="24"/>
          <w:szCs w:val="24"/>
        </w:rPr>
        <w:t xml:space="preserve">godinu odobreno nam je </w:t>
      </w:r>
      <w:r w:rsidR="00DC3C5E" w:rsidRPr="00DC3C5E">
        <w:rPr>
          <w:rFonts w:ascii="Times New Roman" w:hAnsi="Times New Roman" w:cs="Times New Roman"/>
          <w:sz w:val="24"/>
          <w:szCs w:val="24"/>
        </w:rPr>
        <w:t>24.000,00</w:t>
      </w:r>
      <w:r w:rsidRPr="00DC3C5E">
        <w:rPr>
          <w:rFonts w:ascii="Times New Roman" w:hAnsi="Times New Roman" w:cs="Times New Roman"/>
          <w:sz w:val="24"/>
          <w:szCs w:val="24"/>
        </w:rPr>
        <w:t xml:space="preserve"> </w:t>
      </w:r>
      <w:r w:rsidR="00A60C12">
        <w:rPr>
          <w:rFonts w:ascii="Times New Roman" w:hAnsi="Times New Roman" w:cs="Times New Roman"/>
          <w:sz w:val="24"/>
          <w:szCs w:val="24"/>
        </w:rPr>
        <w:t>EUR</w:t>
      </w:r>
      <w:r w:rsidRPr="00DC3C5E">
        <w:rPr>
          <w:rFonts w:ascii="Times New Roman" w:hAnsi="Times New Roman" w:cs="Times New Roman"/>
          <w:sz w:val="24"/>
          <w:szCs w:val="24"/>
        </w:rPr>
        <w:t xml:space="preserve"> dodatnih sredstava</w:t>
      </w:r>
      <w:r>
        <w:rPr>
          <w:rFonts w:ascii="Times New Roman" w:hAnsi="Times New Roman" w:cs="Times New Roman"/>
          <w:sz w:val="24"/>
          <w:szCs w:val="24"/>
        </w:rPr>
        <w:t>. Iz općih prihoda i primitaka Županija nam doznačuje sredstva za županijsko natjecanje iz informatike, županijsku školu plivanja,  programe školskog kurikuluma i plaće pomoćnika u nastavi. Prihodima iz nadležnog proračuna u potpunosti su pokriveni rashodi tekuće godine.</w:t>
      </w:r>
    </w:p>
    <w:p w14:paraId="591A64B4" w14:textId="68B7DE98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proizvedene dugotrajne imovine (skupina 72) odnose se na prodaju stanova na kojima postoji stanarsko pravo, te su realizirani </w:t>
      </w:r>
      <w:r w:rsidR="00432EFE">
        <w:rPr>
          <w:rFonts w:ascii="Times New Roman" w:hAnsi="Times New Roman" w:cs="Times New Roman"/>
          <w:sz w:val="24"/>
          <w:szCs w:val="24"/>
        </w:rPr>
        <w:t>109,34</w:t>
      </w:r>
      <w:r>
        <w:rPr>
          <w:rFonts w:ascii="Times New Roman" w:hAnsi="Times New Roman" w:cs="Times New Roman"/>
          <w:sz w:val="24"/>
          <w:szCs w:val="24"/>
        </w:rPr>
        <w:t xml:space="preserve">% u odnosu na plan. </w:t>
      </w:r>
    </w:p>
    <w:p w14:paraId="64963E4E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12C45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C4F86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39648" w14:textId="7573FD46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84E6D" w14:textId="0875B04D" w:rsidR="00DC3C5E" w:rsidRDefault="00DC3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92176" w14:textId="61857B24" w:rsidR="00DC3C5E" w:rsidRDefault="00DC3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1F4A9" w14:textId="09A3D668" w:rsidR="00DC3C5E" w:rsidRDefault="00DC3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5138B" w14:textId="59ABAB70" w:rsidR="00DC3C5E" w:rsidRDefault="00DC3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CCFEA" w14:textId="77777777" w:rsidR="00DC3C5E" w:rsidRDefault="00DC3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91063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683B3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74CC8" w14:textId="172110E3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Rekapitulacija rashoda po skupinama računa:</w:t>
      </w:r>
    </w:p>
    <w:p w14:paraId="6A9195E0" w14:textId="77777777" w:rsidR="00DC3C5E" w:rsidRDefault="00DC3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2688"/>
        <w:gridCol w:w="1476"/>
        <w:gridCol w:w="1642"/>
        <w:gridCol w:w="1492"/>
        <w:gridCol w:w="970"/>
      </w:tblGrid>
      <w:tr w:rsidR="00602F41" w14:paraId="299365C2" w14:textId="77777777" w:rsidTr="00DC3C5E">
        <w:trPr>
          <w:trHeight w:val="15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597E14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Skupina konta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46B4FC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konta rashoda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99FAB8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za izvještajno razdoblje prethodne godine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343027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Izvorni plan ili rebalans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827EA55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za izvještajno razdoblje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55B87D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  5/4</w:t>
            </w:r>
          </w:p>
        </w:tc>
      </w:tr>
      <w:tr w:rsidR="00602F41" w14:paraId="6ED7D599" w14:textId="77777777" w:rsidTr="00DC3C5E">
        <w:trPr>
          <w:trHeight w:val="203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8EDB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3710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0994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1F0D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021C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E033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</w:t>
            </w:r>
          </w:p>
        </w:tc>
      </w:tr>
      <w:tr w:rsidR="00602F41" w14:paraId="4680A818" w14:textId="77777777" w:rsidTr="00DC3C5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3CF3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258D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3B95" w14:textId="54B65770" w:rsidR="00602F41" w:rsidRDefault="001451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2.064.013,41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A729" w14:textId="3025633A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14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529.662,70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962D" w14:textId="413C933E" w:rsidR="00602F41" w:rsidRDefault="001451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2.506.523,36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F24BA" w14:textId="51434526" w:rsidR="00602F41" w:rsidRDefault="001451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99,09</w:t>
            </w:r>
          </w:p>
        </w:tc>
      </w:tr>
      <w:tr w:rsidR="00602F41" w14:paraId="62E60A50" w14:textId="77777777" w:rsidTr="00DC3C5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8738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5BC5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241AD" w14:textId="6B9286F4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BB6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84.895,80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4AA9" w14:textId="282988B9" w:rsidR="00602F41" w:rsidRDefault="00BB6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470.235,66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13CE" w14:textId="3209ACC1" w:rsidR="00602F41" w:rsidRDefault="00BB691E">
            <w:pPr>
              <w:spacing w:after="0" w:line="36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445.591,93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9A95" w14:textId="4122F4FD" w:rsidR="00602F41" w:rsidRDefault="00BB6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94,76</w:t>
            </w:r>
          </w:p>
        </w:tc>
      </w:tr>
      <w:tr w:rsidR="00602F41" w14:paraId="71FC1DF8" w14:textId="77777777" w:rsidTr="00DC3C5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8424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3432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10D8" w14:textId="1F508173" w:rsidR="00602F41" w:rsidRDefault="00BB6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1.311,88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E0E87" w14:textId="53CEDA94" w:rsidR="00602F41" w:rsidRDefault="00BB6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1.007,03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25A3" w14:textId="55CC74DB" w:rsidR="00602F41" w:rsidRDefault="00BB6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1.428,19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BAD4" w14:textId="2763C7C4" w:rsidR="00602F41" w:rsidRDefault="00BB6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141,82</w:t>
            </w:r>
          </w:p>
        </w:tc>
      </w:tr>
      <w:tr w:rsidR="00602F41" w14:paraId="3B32E8EE" w14:textId="77777777" w:rsidTr="00DC3C5E">
        <w:trPr>
          <w:trHeight w:val="9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3D1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t>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B87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t>Naknade građanima i kućanstvima na temelju osiguranja i druge naknade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1498" w14:textId="1A70F13D" w:rsidR="00602F41" w:rsidRDefault="00BB6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  <w:r w:rsidR="009C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.570,82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0129" w14:textId="3B17D4D0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40.853,30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31A0" w14:textId="6A24E72C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32.829,86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95A7" w14:textId="4B227A07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80,36</w:t>
            </w:r>
          </w:p>
        </w:tc>
      </w:tr>
      <w:tr w:rsidR="00602F41" w14:paraId="08AFEC5B" w14:textId="77777777" w:rsidTr="00DC3C5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D452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20CF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rashodi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88ED" w14:textId="5CD9D46E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1.218,54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E33B" w14:textId="512A8F41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972,54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4771" w14:textId="0DBA813C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969,54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3A14E" w14:textId="32D2FB3B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99,69</w:t>
            </w:r>
          </w:p>
        </w:tc>
      </w:tr>
      <w:tr w:rsidR="00602F41" w14:paraId="24751E64" w14:textId="77777777" w:rsidTr="00DC3C5E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0951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535A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5EE3" w14:textId="2F3DE3C6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8.762,00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1755" w14:textId="78945D34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16.198,54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153C" w14:textId="2A735301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12.728,87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744B" w14:textId="0100290B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78,58</w:t>
            </w:r>
          </w:p>
        </w:tc>
      </w:tr>
      <w:tr w:rsidR="00602F41" w14:paraId="0A3EC0D5" w14:textId="77777777" w:rsidTr="00DC3C5E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E33" w14:textId="77777777" w:rsidR="00602F41" w:rsidRDefault="00602F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DA08" w14:textId="77777777" w:rsidR="00602F41" w:rsidRDefault="00576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RASHODI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0DAA" w14:textId="27D8A063" w:rsidR="00602F41" w:rsidRDefault="009C6C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2.490.772,45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E2BC4" w14:textId="2A33B473" w:rsidR="00602F41" w:rsidRDefault="00581E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3.058.929,77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E588" w14:textId="169377D0" w:rsidR="00602F41" w:rsidRDefault="00581E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3.000.071,75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5865" w14:textId="6246C400" w:rsidR="00602F41" w:rsidRDefault="008822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98,08</w:t>
            </w:r>
          </w:p>
        </w:tc>
      </w:tr>
    </w:tbl>
    <w:p w14:paraId="24787051" w14:textId="1FA85086" w:rsidR="00602F41" w:rsidRDefault="00602F41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25EBF0" w14:textId="52C77156" w:rsidR="00DC3C5E" w:rsidRDefault="00DC3C5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3C5E">
        <w:rPr>
          <w:rFonts w:ascii="Times New Roman" w:eastAsiaTheme="minorHAnsi" w:hAnsi="Times New Roman" w:cs="Times New Roman"/>
          <w:sz w:val="24"/>
          <w:szCs w:val="24"/>
          <w:lang w:eastAsia="en-US"/>
        </w:rPr>
        <w:t>Ukupni rashodi u izvještajnom razdoblju ostvareni su u iznosu od 3.000.071,75 EUR, što predstavlja 98,08 % planiranih sredstava te je više u odnosu na prethodnu godinu . Najveći dio rashoda odnosi se na rashode za zaposlene koji su gotovo u cijelosti realizirani u odnosu na plan, uz istovremeno povećanje u odnosu na prethodnu godinu. Materijalni rashodi također bilježe rast u odnosu na prethodnu godinu, ali su ostvareni nešto ispod planiranog iznosa. Financijski rashodi veći su i u odnosu na plan i u odnosu na prethodnu godinu, iako imaju mali udio u ukupnim rashodima. Naknade građanima i kućanstvima te rashodi za nabavu dugotrajne imovine ostvareni su u manjem iznosu od planiranog, ali su veći u odnosu na prethodnu godinu. Ostali rashodi zadržani su na razini prethodne godine i plana te nemaju značajan utjecaj na ukupno izvršenje rashoda.</w:t>
      </w:r>
    </w:p>
    <w:p w14:paraId="197D1ACB" w14:textId="77777777" w:rsidR="00602F41" w:rsidRDefault="00602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99C29" w14:textId="77777777" w:rsidR="00602F41" w:rsidRDefault="00602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8B680" w14:textId="77777777" w:rsidR="00602F41" w:rsidRDefault="00602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0A454" w14:textId="3D57A6DB" w:rsidR="00E4265D" w:rsidRPr="00DB196D" w:rsidRDefault="00576808" w:rsidP="00DB196D">
      <w:pPr>
        <w:pStyle w:val="Odlomakpopisa"/>
        <w:numPr>
          <w:ilvl w:val="1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RAČUN PRIHOD</w:t>
      </w:r>
      <w:r w:rsidR="000C46D4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RASHOD</w:t>
      </w:r>
      <w:r w:rsidR="000C46D4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 IZVORIMA</w:t>
      </w:r>
      <w:r w:rsidR="00BE4795">
        <w:rPr>
          <w:rFonts w:ascii="Times New Roman" w:hAnsi="Times New Roman" w:cs="Times New Roman"/>
          <w:b/>
          <w:bCs/>
          <w:sz w:val="24"/>
          <w:szCs w:val="24"/>
        </w:rPr>
        <w:t xml:space="preserve"> FINANCIRANJA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2295"/>
        <w:gridCol w:w="1809"/>
        <w:gridCol w:w="1568"/>
        <w:gridCol w:w="1651"/>
        <w:gridCol w:w="910"/>
      </w:tblGrid>
      <w:tr w:rsidR="00E4265D" w14:paraId="58CF8BE4" w14:textId="77777777" w:rsidTr="00DC0E44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97A75A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Skupina konta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AFBF314" w14:textId="417110BF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konta </w:t>
            </w:r>
            <w:r w:rsidR="00DC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prihoda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A8EF66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za izvještajno razdoblje prethodne godine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1F5118B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Izvorni plan ili rebalans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AED425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za izvještajno razdoblje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0D5054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  5/4</w:t>
            </w:r>
          </w:p>
        </w:tc>
      </w:tr>
      <w:tr w:rsidR="00E4265D" w14:paraId="137FD008" w14:textId="77777777" w:rsidTr="00DC0E44">
        <w:trPr>
          <w:trHeight w:val="2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A0D1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4367D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149B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44D1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DCD7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8EC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</w:t>
            </w:r>
          </w:p>
        </w:tc>
      </w:tr>
      <w:tr w:rsidR="00E4265D" w14:paraId="5215D0D6" w14:textId="77777777" w:rsidTr="00DC0E4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8286" w14:textId="3A4E1EA2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0A52" w14:textId="0AB09012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0DC1C" w14:textId="6F20B8B7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65.205,47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DC5D" w14:textId="02935476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157.367,54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AC7B" w14:textId="701FB4E5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154,253,00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DC93" w14:textId="16DA7606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98,02</w:t>
            </w:r>
          </w:p>
        </w:tc>
      </w:tr>
      <w:tr w:rsidR="00E4265D" w14:paraId="700091CC" w14:textId="77777777" w:rsidTr="00DC0E4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8EFD" w14:textId="2880E4DA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534E" w14:textId="44120592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B78C" w14:textId="02FE2E00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3207" w14:textId="53060857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11.810,00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0AEA" w14:textId="724163F6" w:rsidR="00E4265D" w:rsidRDefault="00DC0E44" w:rsidP="006C26C8">
            <w:pPr>
              <w:spacing w:after="0" w:line="36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8.128,23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07AB8" w14:textId="38083C9C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68,82</w:t>
            </w:r>
          </w:p>
        </w:tc>
      </w:tr>
      <w:tr w:rsidR="00E4265D" w14:paraId="50A91922" w14:textId="77777777" w:rsidTr="00DC0E4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3EB6" w14:textId="056DDB6F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B2D7" w14:textId="5E702859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E36F" w14:textId="4C8C54CB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188.857,97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E094" w14:textId="6505C110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214.256,50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8401" w14:textId="14265E08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204.607,50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E5F8" w14:textId="47C1886E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95,50</w:t>
            </w:r>
          </w:p>
        </w:tc>
      </w:tr>
      <w:tr w:rsidR="00E4265D" w14:paraId="1A799989" w14:textId="77777777" w:rsidTr="00DC0E44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167B" w14:textId="4CB83E71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1A16" w14:textId="61B89C0E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za decentralizirane funkcije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C10C" w14:textId="13A3A8B7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93.176,12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A7EC" w14:textId="695B0B72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109.080,18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FC47" w14:textId="639599A0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109.479,24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4E6DD" w14:textId="3745B857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100,37</w:t>
            </w:r>
          </w:p>
        </w:tc>
      </w:tr>
      <w:tr w:rsidR="00E4265D" w14:paraId="2728011E" w14:textId="77777777" w:rsidTr="00DC0E4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C9CD" w14:textId="350CAA26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9DAF" w14:textId="29093EF4" w:rsidR="00E4265D" w:rsidRDefault="00EA3838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Prenesena sredstva-namjenski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FEBE" w14:textId="19B1EB97" w:rsidR="00E4265D" w:rsidRDefault="00EA3838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3.357,05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B9365" w14:textId="46194991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25166" w14:textId="458161F3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8960" w14:textId="532820DB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4265D" w14:paraId="2CA989C9" w14:textId="77777777" w:rsidTr="00DC0E4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CD7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287BA0B" w14:textId="535C9E1E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8EF12" w14:textId="2594CA81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Prenesena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84C6D" w14:textId="5C12B67C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28.180,88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B5A2" w14:textId="37B34415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30.882,40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DEFF" w14:textId="69B01B07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33.040,02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99A1" w14:textId="08D0A0C1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106,99</w:t>
            </w:r>
          </w:p>
        </w:tc>
      </w:tr>
      <w:tr w:rsidR="00E4265D" w14:paraId="096CD3BF" w14:textId="77777777" w:rsidTr="00DC0E4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0C39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4FAE64B" w14:textId="3D53C2C2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7E59" w14:textId="0808900B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F187" w14:textId="122630F5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2.115.395,23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8FAE" w14:textId="24AEE04F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2.520.076,69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AC33" w14:textId="050297B0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2.305.125,70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FDE3" w14:textId="3D0628F0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91,47</w:t>
            </w:r>
          </w:p>
        </w:tc>
      </w:tr>
      <w:tr w:rsidR="00E4265D" w14:paraId="6275DB1D" w14:textId="77777777" w:rsidTr="00DC0E4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E05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F9C654" w14:textId="0549F1E8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4DA6" w14:textId="124B2F9C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Prenesena sredstva -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9792" w14:textId="600276C5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2.104,32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93B4" w14:textId="04DA9990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5.136,71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F4E29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58B5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4265D" w14:paraId="6CEC2A34" w14:textId="77777777" w:rsidTr="00DC0E4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5117" w14:textId="77777777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1E82FA0" w14:textId="13977D74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EFCE" w14:textId="3611D5BC" w:rsidR="00E4265D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9437" w14:textId="5D7F3622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1.055,45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EED9" w14:textId="7FB1EB31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F81D" w14:textId="34C1B9B5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3EFD" w14:textId="36BA56AE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90,41</w:t>
            </w:r>
          </w:p>
        </w:tc>
      </w:tr>
      <w:tr w:rsidR="00E4265D" w14:paraId="3AC26309" w14:textId="77777777" w:rsidTr="00DC0E44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9C30" w14:textId="6AAC1693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FA4EE" w14:textId="77777777" w:rsidR="00E4265D" w:rsidRDefault="00E4265D" w:rsidP="00DB19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5D7B170" w14:textId="259C2FFF" w:rsidR="00DC0E44" w:rsidRPr="00DC0E44" w:rsidRDefault="00DB196D" w:rsidP="00DB19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E44">
              <w:rPr>
                <w:rFonts w:ascii="Times New Roman" w:hAnsi="Times New Roman" w:cs="Times New Roman"/>
                <w:sz w:val="24"/>
                <w:szCs w:val="24"/>
              </w:rPr>
              <w:t>Prihodi od prodaje ili zamjene nefin. imovine i naknada s naslova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EBA8D" w14:textId="0709E5A1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9B26" w14:textId="4FE95864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D82B" w14:textId="099F355A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E1E1" w14:textId="4738FA81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109,34</w:t>
            </w:r>
          </w:p>
        </w:tc>
      </w:tr>
      <w:tr w:rsidR="00E4265D" w14:paraId="2F4A2BDA" w14:textId="77777777" w:rsidTr="00DC0E4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1222" w14:textId="77777777" w:rsidR="00E4265D" w:rsidRDefault="00E4265D" w:rsidP="006C26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6F3B" w14:textId="43DA0784" w:rsidR="00E4265D" w:rsidRDefault="00E4265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UKUPNO </w:t>
            </w:r>
            <w:r w:rsidR="0024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EBDA" w14:textId="12A74EFC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2.513.279,92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AD43" w14:textId="202B8834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3.048.948,42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BD7C" w14:textId="5624C278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2.799.454,28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F5DE" w14:textId="073C9107" w:rsidR="00E4265D" w:rsidRDefault="00DB196D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91,82</w:t>
            </w:r>
          </w:p>
        </w:tc>
      </w:tr>
    </w:tbl>
    <w:p w14:paraId="25191F3E" w14:textId="5E1A1111" w:rsidR="00602F41" w:rsidRDefault="00602F41" w:rsidP="0022764E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152EA" w14:textId="67EAB10B" w:rsidR="00DC0E44" w:rsidRPr="00DC0E44" w:rsidRDefault="00DC0E44" w:rsidP="005767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E44">
        <w:rPr>
          <w:rFonts w:ascii="Times New Roman" w:hAnsi="Times New Roman" w:cs="Times New Roman"/>
          <w:sz w:val="24"/>
          <w:szCs w:val="24"/>
        </w:rPr>
        <w:lastRenderedPageBreak/>
        <w:t>Ukupni prihodi prema izvorima financiranja u 2025. godini ostvareni su u iznosu od 2.799.454,28 EUR, što predstavlja 91,82 % planiranih sredstava te povećanje u odnosu na prethodnu godinu.</w:t>
      </w:r>
    </w:p>
    <w:p w14:paraId="0B991C1D" w14:textId="77777777" w:rsidR="00DC0E44" w:rsidRPr="00DC0E44" w:rsidRDefault="00DC0E44" w:rsidP="005767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E44">
        <w:rPr>
          <w:rFonts w:ascii="Times New Roman" w:hAnsi="Times New Roman" w:cs="Times New Roman"/>
          <w:sz w:val="24"/>
          <w:szCs w:val="24"/>
        </w:rPr>
        <w:t>Najveći udio čine prihodi od pomoći, koji su ostvareni u visokom iznosu i bilježe rast u odnosu na prethodnu godinu, ali su realizirani nešto ispod plana. Prihodi za posebne namjene ostvareni su gotovo na razini plana te također pokazuju blagi rast u odnosu na prethodnu godinu, pri čemu se posebno ističu prihodi za decentralizirane funkcije koji su izvršeni u potpunosti.</w:t>
      </w:r>
    </w:p>
    <w:p w14:paraId="0294B10E" w14:textId="299C56F0" w:rsidR="00DC0E44" w:rsidRDefault="00DC0E44" w:rsidP="005767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E44">
        <w:rPr>
          <w:rFonts w:ascii="Times New Roman" w:hAnsi="Times New Roman" w:cs="Times New Roman"/>
          <w:sz w:val="24"/>
          <w:szCs w:val="24"/>
        </w:rPr>
        <w:t>Opći prihodi i primici značajno su veći u odnosu na prethodnu godinu, ali nisu ostvareni u cijelosti prema planu. Vlastiti prihodi, iako višestruko veći nego prethodne godine, ostvareni su u manjem iznosu od planiranog. Prihodi od donacija bilježe smanjenje u odnosu na plan i prethodnu godinu, dok prihodi od prodaje nefinancijske imovine ostaju na niskoj razini, uz blago povećanje i u odnosu na plan i na prethodnu godinu.</w:t>
      </w:r>
      <w:r w:rsidRPr="00DC0E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01013" w14:textId="77777777" w:rsidR="00DC0E44" w:rsidRDefault="00DC0E44" w:rsidP="00DC0E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2688"/>
        <w:gridCol w:w="1476"/>
        <w:gridCol w:w="1642"/>
        <w:gridCol w:w="1492"/>
        <w:gridCol w:w="970"/>
      </w:tblGrid>
      <w:tr w:rsidR="00DC0E44" w14:paraId="1E00C3CB" w14:textId="77777777" w:rsidTr="006C26C8">
        <w:trPr>
          <w:trHeight w:val="15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36C091E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Skupina konta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2A68671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konta rashoda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9804C8E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za izvještajno razdoblje prethodne godine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05C392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Izvorni plan ili rebalans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2C9CAB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za izvještajno razdoblje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C8323CA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  5/4</w:t>
            </w:r>
          </w:p>
        </w:tc>
      </w:tr>
      <w:tr w:rsidR="00DC0E44" w14:paraId="3525CC68" w14:textId="77777777" w:rsidTr="006C26C8">
        <w:trPr>
          <w:trHeight w:val="203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FA32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1385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E0D6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52D9C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9888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F719A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</w:t>
            </w:r>
          </w:p>
        </w:tc>
      </w:tr>
      <w:tr w:rsidR="00DC0E44" w14:paraId="0856F7B3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72BF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CF5E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3C04" w14:textId="168B03E5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65.205,47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2A76" w14:textId="0F989DAE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157.367,54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DD5DE" w14:textId="3A427957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154.253,00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A029" w14:textId="661C844A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98,02</w:t>
            </w:r>
          </w:p>
        </w:tc>
      </w:tr>
      <w:tr w:rsidR="00DC0E44" w14:paraId="201BE431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475A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1071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97F3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EA25" w14:textId="1802FF63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11.810,00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4F01" w14:textId="77777777" w:rsidR="00DC0E44" w:rsidRDefault="00DC0E44" w:rsidP="006C26C8">
            <w:pPr>
              <w:spacing w:after="0" w:line="36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8.128,23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C7BA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68,82</w:t>
            </w:r>
          </w:p>
        </w:tc>
      </w:tr>
      <w:tr w:rsidR="0022764E" w14:paraId="19E2514B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493A" w14:textId="5B4C2D99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16A7" w14:textId="20579589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Prenesena sredstva-vlastiti prihodi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E3AE" w14:textId="47690DF4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62,53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349FA" w14:textId="45EA3808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10,29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C567" w14:textId="49CE2F8A" w:rsidR="0022764E" w:rsidRDefault="0022764E" w:rsidP="006C26C8">
            <w:pPr>
              <w:spacing w:after="0" w:line="36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10,29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6C222" w14:textId="45273E2A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</w:t>
            </w:r>
          </w:p>
        </w:tc>
      </w:tr>
      <w:tr w:rsidR="00DC0E44" w14:paraId="12C47C16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F96D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AB54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A276" w14:textId="2C18D419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188.857</w:t>
            </w:r>
            <w:r w:rsidR="0022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,97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66C1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214.256,50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C471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204.607,50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70415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95,50</w:t>
            </w:r>
          </w:p>
        </w:tc>
      </w:tr>
      <w:tr w:rsidR="00DC0E44" w14:paraId="0C473057" w14:textId="77777777" w:rsidTr="006C26C8">
        <w:trPr>
          <w:trHeight w:val="9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2565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t>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5F85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za decentralizirane funkcije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4442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93.176,12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9B19" w14:textId="67A4F03A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109.080</w:t>
            </w:r>
            <w:r w:rsidR="0022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097C" w14:textId="16809EE4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109.479,24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E079" w14:textId="7F861CC4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100,37</w:t>
            </w:r>
          </w:p>
        </w:tc>
      </w:tr>
      <w:tr w:rsidR="00DC0E44" w14:paraId="639AE1BD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3DCB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5376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rashodi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B0FC" w14:textId="1693798E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3.357,05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623A" w14:textId="23FD8D88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2.618,98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2B21" w14:textId="4D58447F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2.618,98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6595" w14:textId="150293F5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</w:t>
            </w:r>
          </w:p>
        </w:tc>
      </w:tr>
      <w:tr w:rsidR="00DC0E44" w14:paraId="503774FD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FCFB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440038D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EDF3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Prenesena sredstva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93FD2" w14:textId="47BB226B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28.704,00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2C23" w14:textId="27B5B7B6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30.882,40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142D" w14:textId="24438587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35.399,96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FDE7" w14:textId="21B4BFD1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114,63</w:t>
            </w:r>
          </w:p>
        </w:tc>
      </w:tr>
      <w:tr w:rsidR="00DC0E44" w14:paraId="40421653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E13A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CC06DAB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4635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Pomoći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60A9" w14:textId="70234EBC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2.105.617,54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DB2F" w14:textId="5391C23E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2.519.195,26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5EDC" w14:textId="57DB518D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2.477.654,93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EE06" w14:textId="6D9FE0A0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98,35</w:t>
            </w:r>
          </w:p>
        </w:tc>
      </w:tr>
      <w:tr w:rsidR="00DC0E44" w14:paraId="58380D73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4631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C14B00C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ABEE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Prenesena sredstva - pomoći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8EB3" w14:textId="30853272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5.285,35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1635" w14:textId="6B691FB1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12.037,39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DD66" w14:textId="12CC7347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6.900,68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77CE" w14:textId="798C6214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57,33</w:t>
            </w:r>
          </w:p>
        </w:tc>
      </w:tr>
      <w:tr w:rsidR="00DC0E44" w14:paraId="4E350996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D907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5AE318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EBCF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20BF" w14:textId="506FB286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312,67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E9DF" w14:textId="0157C883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E97B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C283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2764E" w14:paraId="4CF7D578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D987" w14:textId="5B4A4C0C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04EF" w14:textId="61BAD8D3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Prenesena sredstva – donacije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0616" w14:textId="19FECA6C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191,75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5BD9" w14:textId="7107DC5A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1.240,16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81AE" w14:textId="7D646922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846,45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2AEC7" w14:textId="4093F992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68,25</w:t>
            </w:r>
          </w:p>
        </w:tc>
      </w:tr>
      <w:tr w:rsidR="00DC0E44" w14:paraId="50900412" w14:textId="77777777" w:rsidTr="006C26C8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8BD8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BAD4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5CE3D4B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prodaje ili zamjene nefin. imovine i naknada s naslova osiguranja</w:t>
            </w:r>
          </w:p>
          <w:p w14:paraId="74123DD6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218A" w14:textId="0061D18D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B36D" w14:textId="16F49D13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4605" w14:textId="63C521C8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79,28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1D76" w14:textId="5EBC85DA" w:rsidR="00DC0E44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109,34</w:t>
            </w:r>
          </w:p>
        </w:tc>
      </w:tr>
      <w:tr w:rsidR="0022764E" w14:paraId="3925F62C" w14:textId="77777777" w:rsidTr="006C26C8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D7AF" w14:textId="09CCAEF3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3E86" w14:textId="4BB0C2A4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Prenesena sredstva – prihodi od prodaje ili zamjene nefinan.imovine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6E60" w14:textId="77777777" w:rsidR="0022764E" w:rsidRDefault="0022764E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2E98" w14:textId="2F6016BE" w:rsidR="0022764E" w:rsidRDefault="00AA319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92,67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4F43" w14:textId="319B78C1" w:rsidR="0022764E" w:rsidRDefault="00AA319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92,67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2B993" w14:textId="3D507C92" w:rsidR="0022764E" w:rsidRDefault="00AA319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</w:t>
            </w:r>
          </w:p>
        </w:tc>
      </w:tr>
      <w:tr w:rsidR="00DC0E44" w14:paraId="65938C3F" w14:textId="77777777" w:rsidTr="006C26C8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5F7" w14:textId="77777777" w:rsidR="00DC0E44" w:rsidRDefault="00DC0E44" w:rsidP="006C26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CCE3" w14:textId="77777777" w:rsidR="00DC0E44" w:rsidRDefault="00DC0E4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RASHODI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F73C" w14:textId="7F596BBB" w:rsidR="00DC0E44" w:rsidRDefault="00AA319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2.490.772,45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7950" w14:textId="58132CD3" w:rsidR="00DC0E44" w:rsidRDefault="00AA319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3.058.929,77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B499" w14:textId="3E0D9256" w:rsidR="00DC0E44" w:rsidRDefault="00AA319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3.000.071,75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036D0" w14:textId="59BF8333" w:rsidR="00DC0E44" w:rsidRDefault="00AA3194" w:rsidP="006C2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98,08</w:t>
            </w:r>
          </w:p>
        </w:tc>
      </w:tr>
    </w:tbl>
    <w:p w14:paraId="7B4B1C9C" w14:textId="77777777" w:rsidR="00DC0E44" w:rsidRDefault="00DC0E44" w:rsidP="00DC0E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5B6E6" w14:textId="1BED4727" w:rsidR="00DC0E44" w:rsidRPr="00DC0E44" w:rsidRDefault="00DC0E44" w:rsidP="00DC0E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E44">
        <w:rPr>
          <w:rFonts w:ascii="Times New Roman" w:hAnsi="Times New Roman" w:cs="Times New Roman"/>
          <w:bCs/>
          <w:sz w:val="24"/>
          <w:szCs w:val="24"/>
        </w:rPr>
        <w:t>Ukupni rashodi prema izvorima financiranja u 2025. godini ostvareni su u iznosu od 3.000.071,75 EUR, što predstavlja 98,08 % planiranih sredstava te značajno povećanje u odnosu na prethodnu godinu.</w:t>
      </w:r>
    </w:p>
    <w:p w14:paraId="044735AA" w14:textId="6FF8193E" w:rsidR="00DC0E44" w:rsidRPr="00DC0E44" w:rsidRDefault="00DC0E44" w:rsidP="00DC0E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E44">
        <w:rPr>
          <w:rFonts w:ascii="Times New Roman" w:hAnsi="Times New Roman" w:cs="Times New Roman"/>
          <w:bCs/>
          <w:sz w:val="24"/>
          <w:szCs w:val="24"/>
        </w:rPr>
        <w:t>Najveći dio rashoda financiran je iz izvora pomoći, koji bilježe rast u odnosu na prethodnu godinu te su gotovo u cijelosti realizirani u odnosu na plan. Rashodi financirani iz prihoda za posebne namjene također su povećani u odnosu na prethodnu godinu i ostvareni blizu planiranih iznosa, pri čemu su rashodi za decentralizirane funkcije izvršeni u potpunosti.</w:t>
      </w:r>
    </w:p>
    <w:p w14:paraId="00843EFF" w14:textId="3AE27F51" w:rsidR="00DC0E44" w:rsidRPr="00DC0E44" w:rsidRDefault="00DC0E44" w:rsidP="00DC0E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E44">
        <w:rPr>
          <w:rFonts w:ascii="Times New Roman" w:hAnsi="Times New Roman" w:cs="Times New Roman"/>
          <w:bCs/>
          <w:sz w:val="24"/>
          <w:szCs w:val="24"/>
        </w:rPr>
        <w:t>Rashodi iz općih prihoda i primitaka značajno su veći u odnosu na prethodnu godinu te su gotovo u cijelosti realizirani u odnosu na plan. Rashodi iz vlastitih prihoda, iako višestruko veći nego prethodne godine, ostvareni su ispod planiranih vrijednosti. Rashodi financirani iz donacija ostvareni su u manjem iznosu u odnosu na plan, dok rashodi od prodaje nefinancijske imovine i naknada s naslova osiguranja imaju zanemariv udio, uz blaga odstupanja u odnosu na plan.</w:t>
      </w:r>
    </w:p>
    <w:p w14:paraId="542699E4" w14:textId="77777777" w:rsidR="00DC0E44" w:rsidRDefault="00DC0E44" w:rsidP="00DC0E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1CF10" w14:textId="6C715DC1" w:rsidR="00602F41" w:rsidRDefault="00576808" w:rsidP="00DC0E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 RASHODI PREMA FUNKCIJSKOJ KLASIFIKACIJI</w:t>
      </w:r>
    </w:p>
    <w:p w14:paraId="74815833" w14:textId="61527900" w:rsidR="00602F41" w:rsidRDefault="00576808">
      <w:pPr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prema funkcijskoj klasifikaciji izvršeni su u odnosu na plan u visini </w:t>
      </w:r>
      <w:r w:rsidR="003D7427">
        <w:rPr>
          <w:rFonts w:ascii="Times New Roman" w:hAnsi="Times New Roman" w:cs="Times New Roman"/>
          <w:sz w:val="24"/>
          <w:szCs w:val="24"/>
        </w:rPr>
        <w:t>98,08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21218FFF" w14:textId="78CF5EBC" w:rsidR="00602F41" w:rsidRDefault="00602F4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23BA5" w14:textId="276711C5" w:rsidR="007D507D" w:rsidRDefault="007D50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16A77" w14:textId="77777777" w:rsidR="007D507D" w:rsidRDefault="007D50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DF099" w14:textId="77777777" w:rsidR="00602F41" w:rsidRDefault="00576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POSEBNI DIO PRORAČUNA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3D196" w14:textId="77777777" w:rsidR="00602F41" w:rsidRDefault="00602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C1D37" w14:textId="77777777" w:rsidR="00602F41" w:rsidRDefault="00576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proračuna sadrži podatke izvršenja rashoda i izdataka po organizacijskoj klasifikaciji i programskoj klasifikaciji – rashodi i izdaci unutar razdjela i glava proračuna prikazuju se po programima, aktivnostima i računima računskog plana proračuna. U nastavku se daje obrazloženje realizacije rashoda i izdataka po navedenim proračunskim klasifikacijama.</w:t>
      </w:r>
    </w:p>
    <w:p w14:paraId="3D69A9E3" w14:textId="77777777" w:rsidR="00602F41" w:rsidRDefault="00576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posebnom dijelu, za razliku od općeg dijela proračuna, ne prikazuju se usporedni podaci izvještajnog razdoblja prethodne godine.</w:t>
      </w:r>
    </w:p>
    <w:p w14:paraId="19A73A51" w14:textId="33F8CF9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09E7B" w14:textId="77777777" w:rsidR="003D7427" w:rsidRDefault="003D74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4E887" w14:textId="77777777" w:rsidR="00602F41" w:rsidRDefault="005768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5301 OSNOVNOŠKOLSKO OBRAZOVANJE</w:t>
      </w:r>
    </w:p>
    <w:p w14:paraId="3F9359D3" w14:textId="12E9BF1C" w:rsidR="007D507D" w:rsidRPr="007D507D" w:rsidRDefault="00576808" w:rsidP="007D50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 A530101 Osiguranje uvjeta rada</w:t>
      </w:r>
    </w:p>
    <w:p w14:paraId="373E6FD5" w14:textId="2C554547" w:rsidR="007D507D" w:rsidRPr="007D507D" w:rsidRDefault="007D507D" w:rsidP="007D5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07D">
        <w:rPr>
          <w:rFonts w:ascii="Times New Roman" w:hAnsi="Times New Roman" w:cs="Times New Roman"/>
          <w:sz w:val="24"/>
          <w:szCs w:val="24"/>
        </w:rPr>
        <w:t>Rashodi za aktivnost „Osiguravanje uvjeta rada“ u 2025. godini ostvareni su u iznosu od 2.384.108,01 EUR, što predstavlja 99 % planiranih sredstava, uz blago smanjenje u odnosu na plan .</w:t>
      </w:r>
    </w:p>
    <w:p w14:paraId="67473CC2" w14:textId="5E4F7FCB" w:rsidR="007D507D" w:rsidRPr="007D507D" w:rsidRDefault="007D507D" w:rsidP="007D5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07D">
        <w:rPr>
          <w:rFonts w:ascii="Times New Roman" w:hAnsi="Times New Roman" w:cs="Times New Roman"/>
          <w:sz w:val="24"/>
          <w:szCs w:val="24"/>
        </w:rPr>
        <w:t>Najznačajnija odstupanja vidljiva su kod vlastitih prihoda, gdje su rashodi ostvareni sa svega 69 % plana, što upućuje na slabije ostvarenje ili odgodu pojedinih aktivnosti financiranih iz tog izvora. S druge strane, rashodi financirani iz prihoda za posebne namjene blago premašuju plan (101 %), pri čemu su posebno povećani rashodi proračunskih korisnika (110 %), što ukazuje na veću realizaciju određenih usluga.</w:t>
      </w:r>
    </w:p>
    <w:p w14:paraId="25EEBD95" w14:textId="2AE68822" w:rsidR="007D507D" w:rsidRPr="007D507D" w:rsidRDefault="007D507D" w:rsidP="007D5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07D">
        <w:rPr>
          <w:rFonts w:ascii="Times New Roman" w:hAnsi="Times New Roman" w:cs="Times New Roman"/>
          <w:sz w:val="24"/>
          <w:szCs w:val="24"/>
        </w:rPr>
        <w:t>Kod pomoći, koje čine najveći dio rashoda, realizacija je visoka (99 %), no unutar te skupine ističe se značajno odstupanje kod naknada građanima i kućanstvima koje su ostvarene sa samo 25 % plana, što upućuje na znatno manji opseg isplata od planiranog. Također, materijalni rashodi iz pomoći nešto su veći od planiranih (105 %), što može biti posljedica povećanih troškova prijevoza ili usluga.</w:t>
      </w:r>
    </w:p>
    <w:p w14:paraId="2351AF1A" w14:textId="69013DB7" w:rsidR="00602F41" w:rsidRDefault="007D507D" w:rsidP="007D5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07D">
        <w:rPr>
          <w:rFonts w:ascii="Times New Roman" w:hAnsi="Times New Roman" w:cs="Times New Roman"/>
          <w:sz w:val="24"/>
          <w:szCs w:val="24"/>
        </w:rPr>
        <w:t xml:space="preserve">Rashodi financirani iz donacija ostvareni su na razini od 49 % plana, što ukazuje na manji priljev i posljedično manju realizaciju aktivnosti iz tog izvora. Ostali rashodi, uključujući </w:t>
      </w:r>
      <w:r w:rsidRPr="007D507D">
        <w:rPr>
          <w:rFonts w:ascii="Times New Roman" w:hAnsi="Times New Roman" w:cs="Times New Roman"/>
          <w:sz w:val="24"/>
          <w:szCs w:val="24"/>
        </w:rPr>
        <w:lastRenderedPageBreak/>
        <w:t>opće prihode i decentralizirane funkcije, ostvareni su uglavnom u skladu s planom, bez značajnijih odstupanja.</w:t>
      </w:r>
    </w:p>
    <w:p w14:paraId="6FA98C9D" w14:textId="56845BE5" w:rsidR="007D507D" w:rsidRDefault="007D507D" w:rsidP="007D5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63995" w14:textId="77777777" w:rsidR="007D507D" w:rsidRPr="007D507D" w:rsidRDefault="007D507D" w:rsidP="007D5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74673" w14:textId="059BD75C" w:rsidR="00602F41" w:rsidRDefault="005768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 A53106 Nabava udžbenika za učenike OŠ</w:t>
      </w:r>
    </w:p>
    <w:p w14:paraId="46A189D0" w14:textId="77777777" w:rsidR="007D507D" w:rsidRDefault="007D50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660A1" w14:textId="46E7AE0D" w:rsidR="00602F41" w:rsidRDefault="00576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Sadrži rashode poslovanja koji se odnose na nabavku novih radnih udžbenika i dokup udžbenika, a  realizirani su </w:t>
      </w:r>
      <w:r w:rsidR="00913E71">
        <w:rPr>
          <w:rFonts w:ascii="Times New Roman" w:hAnsi="Times New Roman" w:cs="Times New Roman"/>
          <w:sz w:val="24"/>
          <w:szCs w:val="24"/>
        </w:rPr>
        <w:t>94,00</w:t>
      </w:r>
      <w:r>
        <w:rPr>
          <w:rFonts w:ascii="Times New Roman" w:hAnsi="Times New Roman" w:cs="Times New Roman"/>
          <w:sz w:val="24"/>
          <w:szCs w:val="24"/>
        </w:rPr>
        <w:t xml:space="preserve">% u odnosu na plan. </w:t>
      </w:r>
    </w:p>
    <w:p w14:paraId="4685B277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C5EFE" w14:textId="77777777" w:rsidR="00602F41" w:rsidRDefault="005768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 A530107 Prehrana za učenike u osnovnim školama</w:t>
      </w:r>
    </w:p>
    <w:p w14:paraId="7000B219" w14:textId="77C68701" w:rsidR="007D507D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Prehranu za učenike u osnovnim školama financirana je sa izvora 521 pomoći MZO</w:t>
      </w:r>
      <w:r w:rsidR="007D507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realizirani su 8</w:t>
      </w:r>
      <w:r w:rsidR="00913E71">
        <w:rPr>
          <w:rFonts w:ascii="Times New Roman" w:hAnsi="Times New Roman" w:cs="Times New Roman"/>
          <w:sz w:val="24"/>
          <w:szCs w:val="24"/>
        </w:rPr>
        <w:t>4,00</w:t>
      </w:r>
      <w:r>
        <w:rPr>
          <w:rFonts w:ascii="Times New Roman" w:hAnsi="Times New Roman" w:cs="Times New Roman"/>
          <w:sz w:val="24"/>
          <w:szCs w:val="24"/>
        </w:rPr>
        <w:t>% u odnosu na plan</w:t>
      </w:r>
      <w:r w:rsidR="007D507D">
        <w:rPr>
          <w:rFonts w:ascii="Times New Roman" w:hAnsi="Times New Roman" w:cs="Times New Roman"/>
          <w:sz w:val="24"/>
          <w:szCs w:val="24"/>
        </w:rPr>
        <w:t>.</w:t>
      </w:r>
    </w:p>
    <w:p w14:paraId="16363BC2" w14:textId="77777777" w:rsidR="007D507D" w:rsidRDefault="007D5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BA8B" w14:textId="65BD5A86" w:rsidR="00602F41" w:rsidRDefault="005768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5302 UNAPREĐENJE KVALITETE ODGOJNO OBRAZOVNOG SUSTAVA</w:t>
      </w:r>
    </w:p>
    <w:p w14:paraId="2C46A0D2" w14:textId="77777777" w:rsidR="007D507D" w:rsidRDefault="007D50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E4847" w14:textId="77777777" w:rsidR="00602F41" w:rsidRDefault="005768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 A530202 Produženi boravak učenika</w:t>
      </w:r>
    </w:p>
    <w:p w14:paraId="12B7A735" w14:textId="1DC6CD85" w:rsidR="00602F41" w:rsidRDefault="00576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produženog boravka učenika financira se uplatama roditelja, sredstvima lokalne samouprave </w:t>
      </w:r>
      <w:r w:rsidR="007D507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Matulji ostvarenje 9</w:t>
      </w:r>
      <w:r w:rsidR="00913E71">
        <w:rPr>
          <w:rFonts w:ascii="Times New Roman" w:hAnsi="Times New Roman" w:cs="Times New Roman"/>
          <w:sz w:val="24"/>
          <w:szCs w:val="24"/>
        </w:rPr>
        <w:t>6,00</w:t>
      </w:r>
      <w:r>
        <w:rPr>
          <w:rFonts w:ascii="Times New Roman" w:hAnsi="Times New Roman" w:cs="Times New Roman"/>
          <w:sz w:val="24"/>
          <w:szCs w:val="24"/>
        </w:rPr>
        <w:t>% u odnosu na plan.</w:t>
      </w:r>
    </w:p>
    <w:p w14:paraId="66F713F1" w14:textId="77777777" w:rsidR="00851ACE" w:rsidRPr="00851ACE" w:rsidRDefault="00851ACE" w:rsidP="00851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CE">
        <w:rPr>
          <w:rFonts w:ascii="Times New Roman" w:hAnsi="Times New Roman" w:cs="Times New Roman"/>
          <w:sz w:val="24"/>
          <w:szCs w:val="24"/>
        </w:rPr>
        <w:t>Rashodi za aktivnost „Produženi boravak učenika-putnika“ u 2025. godini ostvareni su u iznosu od 303.679,76 EUR, što predstavlja 96 % planiranih sredstava.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ACE">
        <w:rPr>
          <w:rFonts w:ascii="Times New Roman" w:hAnsi="Times New Roman" w:cs="Times New Roman"/>
          <w:sz w:val="24"/>
          <w:szCs w:val="24"/>
        </w:rPr>
        <w:t>Ukupno izvršenje nešto je niže od plana, što je prvenstveno rezultat odstupanja unutar pojedinih izvora financiranja.</w:t>
      </w:r>
    </w:p>
    <w:p w14:paraId="2FC4FB2A" w14:textId="77777777" w:rsidR="00851ACE" w:rsidRPr="00851ACE" w:rsidRDefault="00851ACE" w:rsidP="00851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CE">
        <w:rPr>
          <w:rFonts w:ascii="Times New Roman" w:hAnsi="Times New Roman" w:cs="Times New Roman"/>
          <w:sz w:val="24"/>
          <w:szCs w:val="24"/>
        </w:rPr>
        <w:t>Rashodi financirani iz pomoći ostvareni su gotovo u potpunosti (99 %), pri čemu su rashodi za zaposlene čak neznatno viši od plana, dok su materijalni rashodi ostvareni u nešto manjem opsegu (92 %). Prenesena sredstva za posebne namjene realizirana su u cijelosti (100 %) i odnose se isključivo na rashode za zaposlene.</w:t>
      </w:r>
    </w:p>
    <w:p w14:paraId="32E44257" w14:textId="77777777" w:rsidR="00851ACE" w:rsidRDefault="00851ACE" w:rsidP="00851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CE">
        <w:rPr>
          <w:rFonts w:ascii="Times New Roman" w:hAnsi="Times New Roman" w:cs="Times New Roman"/>
          <w:sz w:val="24"/>
          <w:szCs w:val="24"/>
        </w:rPr>
        <w:t>Ukupno gledano, odstupanja su najvećim dijelom posljedica manjih rashoda za zaposlene u okviru prihoda za posebne namjene te djelomično niže realizacije materijalnih rashoda iz pomoći, dok su ostali rashodi izvršeni u skladu s planiranim iznosima.</w:t>
      </w:r>
    </w:p>
    <w:p w14:paraId="1C8F377B" w14:textId="77777777" w:rsidR="00851ACE" w:rsidRDefault="00851A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666CF" w14:textId="77777777" w:rsidR="00602F41" w:rsidRDefault="00602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4AF58" w14:textId="464A7641" w:rsidR="00851ACE" w:rsidRDefault="00576808" w:rsidP="00851A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 A530209 Sufinanciranje pomoćnika u nastav</w:t>
      </w:r>
      <w:r w:rsidR="00851AC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1A77F32" w14:textId="77777777" w:rsidR="00851ACE" w:rsidRDefault="00851ACE" w:rsidP="00851A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E16EE" w14:textId="3A3B617F" w:rsidR="00851ACE" w:rsidRPr="00851ACE" w:rsidRDefault="00851ACE" w:rsidP="00851A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ACE">
        <w:rPr>
          <w:rFonts w:ascii="Times New Roman" w:hAnsi="Times New Roman" w:cs="Times New Roman"/>
          <w:sz w:val="24"/>
          <w:szCs w:val="24"/>
        </w:rPr>
        <w:t>Rashodi za aktivnost „Sufinanciranje rada pomoćnika u nastavi“ u 2025. godini ostvareni su u iznosu od 156.026,46 EUR, što predstavlja 98 % planiranih sredstava . Ukupno izvršenje je vrlo blizu plana, bez značajnijih odstupanja na razini aktivnosti.</w:t>
      </w:r>
      <w:r>
        <w:rPr>
          <w:rFonts w:ascii="Times New Roman" w:hAnsi="Times New Roman" w:cs="Times New Roman"/>
          <w:sz w:val="24"/>
          <w:szCs w:val="24"/>
        </w:rPr>
        <w:t xml:space="preserve"> Sredstvim</w:t>
      </w:r>
      <w:r w:rsidR="000B05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Primorsko – goranske županije u 2025. godini sufinancirane su plaće i mat.prava za 11 pomoćnika u nastavi.</w:t>
      </w:r>
    </w:p>
    <w:p w14:paraId="21E3F120" w14:textId="59542EBD" w:rsidR="00851ACE" w:rsidRPr="00851ACE" w:rsidRDefault="00851ACE" w:rsidP="00851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CE">
        <w:rPr>
          <w:rFonts w:ascii="Times New Roman" w:hAnsi="Times New Roman" w:cs="Times New Roman"/>
          <w:sz w:val="24"/>
          <w:szCs w:val="24"/>
        </w:rPr>
        <w:t>Rashodi financirani iz općih prihoda i primitaka ostvareni su u iznosu od 98 % plana te se u cijelosti odnose na rashode za zaposlene, što upućuje na stabilno i ujednačeno financiranje plaća pomoćnika u nastavi.</w:t>
      </w:r>
    </w:p>
    <w:p w14:paraId="3EF41E8E" w14:textId="0D91E13B" w:rsidR="00851ACE" w:rsidRPr="00851ACE" w:rsidRDefault="00851ACE" w:rsidP="00851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CE">
        <w:rPr>
          <w:rFonts w:ascii="Times New Roman" w:hAnsi="Times New Roman" w:cs="Times New Roman"/>
          <w:sz w:val="24"/>
          <w:szCs w:val="24"/>
        </w:rPr>
        <w:t>Najznačajnija odstupanja vidljiva su unutar izvora pomoći, gdje su pojedine stavke ostvarene iznad planiranih iznosa. Posebno se ističu rashodi za zaposlene koji su na pojedinim podstavkama ostvareni i do 137 % plana, kao i materijalni rashodi koji su ostvareni sa 133 % plana, što upućuje na povećane troškove prijevoza i ostalih naknada zaposlenima. Također, evidentirana su i prenesena sredstva pomoći koja nisu bila planirana u izvornom planu, što je dodatno utjecalo na povećanje izvršenja unutar ovog izvora.</w:t>
      </w:r>
    </w:p>
    <w:p w14:paraId="54959FE2" w14:textId="0B23947F" w:rsidR="00851ACE" w:rsidRDefault="00851ACE" w:rsidP="00851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4751F" w14:textId="77777777" w:rsidR="00851ACE" w:rsidRPr="00851ACE" w:rsidRDefault="00851ACE" w:rsidP="00851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6F114" w14:textId="190E0DD1" w:rsidR="00602F41" w:rsidRDefault="005768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 A530222  Programi školskog kurikuluma</w:t>
      </w:r>
    </w:p>
    <w:p w14:paraId="5A3B7923" w14:textId="7BB1547E" w:rsidR="00602F41" w:rsidRDefault="00576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projekta Programa školskog kurikuluma financirana je likovna i glazbena radionica</w:t>
      </w:r>
      <w:r w:rsidR="00913E71">
        <w:rPr>
          <w:rFonts w:ascii="Times New Roman" w:hAnsi="Times New Roman" w:cs="Times New Roman"/>
          <w:sz w:val="24"/>
          <w:szCs w:val="24"/>
        </w:rPr>
        <w:t xml:space="preserve"> te realizacija</w:t>
      </w:r>
      <w:r>
        <w:rPr>
          <w:rFonts w:ascii="Times New Roman" w:hAnsi="Times New Roman" w:cs="Times New Roman"/>
          <w:sz w:val="24"/>
          <w:szCs w:val="24"/>
        </w:rPr>
        <w:t xml:space="preserve"> programa </w:t>
      </w:r>
      <w:r w:rsidR="00913E71">
        <w:rPr>
          <w:rFonts w:ascii="Times New Roman" w:hAnsi="Times New Roman" w:cs="Times New Roman"/>
          <w:sz w:val="24"/>
          <w:szCs w:val="24"/>
        </w:rPr>
        <w:t>iznosi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E71">
        <w:rPr>
          <w:rFonts w:ascii="Times New Roman" w:hAnsi="Times New Roman" w:cs="Times New Roman"/>
          <w:sz w:val="24"/>
          <w:szCs w:val="24"/>
        </w:rPr>
        <w:t>98,00</w:t>
      </w:r>
      <w:r>
        <w:rPr>
          <w:rFonts w:ascii="Times New Roman" w:hAnsi="Times New Roman" w:cs="Times New Roman"/>
          <w:sz w:val="24"/>
          <w:szCs w:val="24"/>
        </w:rPr>
        <w:t>% u odnosu na plan.</w:t>
      </w:r>
    </w:p>
    <w:p w14:paraId="36A30AB5" w14:textId="5D26A5DA" w:rsidR="00602F41" w:rsidRDefault="00602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72D" w14:textId="77777777" w:rsidR="00602F41" w:rsidRDefault="00602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66B7F" w14:textId="77777777" w:rsidR="00851ACE" w:rsidRDefault="00576808" w:rsidP="00851A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 A530239 Županijska škola plivanja</w:t>
      </w:r>
    </w:p>
    <w:p w14:paraId="20A987AC" w14:textId="4468A84A" w:rsidR="00602F41" w:rsidRPr="00851ACE" w:rsidRDefault="00576808" w:rsidP="00851A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je od </w:t>
      </w:r>
      <w:r w:rsidR="00851ACE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 godine uključena u projekt Županijska škola plivanja. Uključeni su svi </w:t>
      </w:r>
      <w:r w:rsidRPr="00F560C1">
        <w:rPr>
          <w:rFonts w:ascii="Times New Roman" w:hAnsi="Times New Roman" w:cs="Times New Roman"/>
          <w:sz w:val="24"/>
          <w:szCs w:val="24"/>
        </w:rPr>
        <w:t>učenici drugih razreda</w:t>
      </w:r>
      <w:r>
        <w:rPr>
          <w:rFonts w:ascii="Times New Roman" w:hAnsi="Times New Roman" w:cs="Times New Roman"/>
          <w:sz w:val="24"/>
          <w:szCs w:val="24"/>
        </w:rPr>
        <w:t xml:space="preserve">. Projekt je realiziran </w:t>
      </w:r>
      <w:r w:rsidR="00384438">
        <w:rPr>
          <w:rFonts w:ascii="Times New Roman" w:hAnsi="Times New Roman" w:cs="Times New Roman"/>
          <w:sz w:val="24"/>
          <w:szCs w:val="24"/>
        </w:rPr>
        <w:t>103,00</w:t>
      </w:r>
      <w:r>
        <w:rPr>
          <w:rFonts w:ascii="Times New Roman" w:hAnsi="Times New Roman" w:cs="Times New Roman"/>
          <w:sz w:val="24"/>
          <w:szCs w:val="24"/>
        </w:rPr>
        <w:t>% u odnosu na plan.</w:t>
      </w:r>
    </w:p>
    <w:p w14:paraId="22C6899C" w14:textId="77777777" w:rsidR="00602F41" w:rsidRDefault="00602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4353E" w14:textId="758EA340" w:rsidR="00602F41" w:rsidRDefault="005768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 A530240  Osiguranje besplatnih zaliha menstrualnih higijenskih potrepština</w:t>
      </w:r>
    </w:p>
    <w:p w14:paraId="072B70FB" w14:textId="6A66E3D2" w:rsidR="00602F41" w:rsidRDefault="00576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izvor 521 pomoći MZO doznačena su sredstva za osiguravanje zaliha menstrualnih higijenskih potrepština za učenice i projekt je realiziran </w:t>
      </w:r>
      <w:r w:rsidR="00384438">
        <w:rPr>
          <w:rFonts w:ascii="Times New Roman" w:hAnsi="Times New Roman" w:cs="Times New Roman"/>
          <w:sz w:val="24"/>
          <w:szCs w:val="24"/>
        </w:rPr>
        <w:t>100,00</w:t>
      </w:r>
      <w:r>
        <w:rPr>
          <w:rFonts w:ascii="Times New Roman" w:hAnsi="Times New Roman" w:cs="Times New Roman"/>
          <w:sz w:val="24"/>
          <w:szCs w:val="24"/>
        </w:rPr>
        <w:t>% u odnosu na plan.</w:t>
      </w:r>
    </w:p>
    <w:p w14:paraId="2899FE6A" w14:textId="0E73AB25" w:rsidR="00602F41" w:rsidRDefault="00602F4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96736" w14:textId="7A794201" w:rsidR="00384438" w:rsidRDefault="003844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613D5" w14:textId="4D938268" w:rsidR="00384438" w:rsidRDefault="003844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EBA2E" w14:textId="77777777" w:rsidR="00384438" w:rsidRDefault="003844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1E8F2" w14:textId="330C9E49" w:rsidR="00602F41" w:rsidRDefault="005768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5306 OBILJEŽAVANJE POSTIGNUĆA UČENIKA I NASTAVNIKA</w:t>
      </w:r>
    </w:p>
    <w:p w14:paraId="060CE0D2" w14:textId="2D9C3D4A" w:rsidR="00602F41" w:rsidRPr="00396B6E" w:rsidRDefault="00576808" w:rsidP="00396B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 530604 Natjecanja i smotre</w:t>
      </w:r>
    </w:p>
    <w:p w14:paraId="09131A80" w14:textId="51D69183" w:rsidR="00396B6E" w:rsidRDefault="00396B6E" w:rsidP="00396B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B6E">
        <w:rPr>
          <w:rFonts w:ascii="Times New Roman" w:hAnsi="Times New Roman" w:cs="Times New Roman"/>
          <w:sz w:val="24"/>
          <w:szCs w:val="24"/>
        </w:rPr>
        <w:t>Rashodi za aktivnost „Natjecanja i smotre“ u 2025. godini ostvareni su u iznosu od 3.557,04 EUR, što predstavlja 80 % planiranih sredstava . Ukupno izvršenje značajno je niže od plana, što upućuje na manji opseg provedenih aktivnosti u odnosu na planirano.</w:t>
      </w:r>
    </w:p>
    <w:p w14:paraId="3BA209E4" w14:textId="011611BD" w:rsidR="00396B6E" w:rsidRDefault="00396B6E" w:rsidP="00396B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B6E">
        <w:rPr>
          <w:rFonts w:ascii="Times New Roman" w:hAnsi="Times New Roman" w:cs="Times New Roman"/>
          <w:sz w:val="24"/>
          <w:szCs w:val="24"/>
        </w:rPr>
        <w:t>Rashodi financirani iz općih prihoda i primitaka</w:t>
      </w:r>
      <w:r>
        <w:rPr>
          <w:rFonts w:ascii="Times New Roman" w:hAnsi="Times New Roman" w:cs="Times New Roman"/>
          <w:sz w:val="24"/>
          <w:szCs w:val="24"/>
        </w:rPr>
        <w:t xml:space="preserve"> koji se</w:t>
      </w:r>
      <w:r w:rsidRPr="00396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odnose na rashode Županijskog natjecanja iz informatike </w:t>
      </w:r>
      <w:r w:rsidRPr="00396B6E">
        <w:rPr>
          <w:rFonts w:ascii="Times New Roman" w:hAnsi="Times New Roman" w:cs="Times New Roman"/>
          <w:sz w:val="24"/>
          <w:szCs w:val="24"/>
        </w:rPr>
        <w:t>realizirani su u cijelosti (100 %), što pokazuje da je osnovni dio aktivnosti proveden prema planu, osobito u segmentu materijalnih rashoda.</w:t>
      </w:r>
    </w:p>
    <w:p w14:paraId="6AD6E9DC" w14:textId="77777777" w:rsidR="00396B6E" w:rsidRDefault="00396B6E" w:rsidP="00396B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CD644" w14:textId="77777777" w:rsidR="00602F41" w:rsidRDefault="005768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5308 KAPITALNA ULAGANJA U ODGOJNO OBRAZOVNU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INFRASTRUKTURU</w:t>
      </w:r>
    </w:p>
    <w:p w14:paraId="5AC4E41D" w14:textId="77777777" w:rsidR="00602F41" w:rsidRPr="000E71FB" w:rsidRDefault="005768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71FB">
        <w:rPr>
          <w:rFonts w:ascii="Times New Roman" w:hAnsi="Times New Roman" w:cs="Times New Roman"/>
          <w:b/>
          <w:bCs/>
          <w:sz w:val="24"/>
          <w:szCs w:val="24"/>
        </w:rPr>
        <w:t>Kapitalni projekti K 530801 Opremanje ustanova školstva</w:t>
      </w:r>
    </w:p>
    <w:p w14:paraId="01A5452E" w14:textId="736A1F69" w:rsidR="000E71FB" w:rsidRPr="000E71FB" w:rsidRDefault="000E71FB" w:rsidP="00EF53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FB">
        <w:rPr>
          <w:rFonts w:ascii="Times New Roman" w:hAnsi="Times New Roman" w:cs="Times New Roman"/>
          <w:sz w:val="24"/>
          <w:szCs w:val="24"/>
        </w:rPr>
        <w:t>Rashodi za program „Kapitalna ulaganja u odgojno-obrazovnu infrastrukturu“, odnosno aktivnost „Opremanje ustanova školstva“, u 2025. godini ostvareni su u iznosu od 7.932,15 EUR, što predstavlja 97 % planiranih sredstava . Ukupno izvršenje je blago ispod plana, bez značajnijih odstupanja na razini programa.</w:t>
      </w:r>
      <w:r w:rsidR="005457EF">
        <w:rPr>
          <w:rFonts w:ascii="Times New Roman" w:hAnsi="Times New Roman" w:cs="Times New Roman"/>
          <w:sz w:val="24"/>
          <w:szCs w:val="24"/>
        </w:rPr>
        <w:t xml:space="preserve"> </w:t>
      </w:r>
      <w:r w:rsidRPr="000E71FB">
        <w:rPr>
          <w:rFonts w:ascii="Times New Roman" w:hAnsi="Times New Roman" w:cs="Times New Roman"/>
          <w:sz w:val="24"/>
          <w:szCs w:val="24"/>
        </w:rPr>
        <w:t>Na povećanje rashoda utjecala je nabava dugotrajne imovine kroz nabavu uredske opreme i namještaja, postavljanje video nadzora, kroz nabavu opreme za ostale namjene, školske lektire i udžbenika.</w:t>
      </w:r>
    </w:p>
    <w:p w14:paraId="40B05722" w14:textId="480B89BE" w:rsidR="00384438" w:rsidRDefault="00384438">
      <w:pPr>
        <w:rPr>
          <w:rFonts w:ascii="Times New Roman" w:hAnsi="Times New Roman" w:cs="Times New Roman"/>
          <w:sz w:val="24"/>
          <w:szCs w:val="24"/>
        </w:rPr>
      </w:pPr>
    </w:p>
    <w:p w14:paraId="7DB0286B" w14:textId="6A0B8E60" w:rsidR="00384438" w:rsidRDefault="00384438">
      <w:pPr>
        <w:rPr>
          <w:rFonts w:ascii="Times New Roman" w:hAnsi="Times New Roman" w:cs="Times New Roman"/>
          <w:sz w:val="24"/>
          <w:szCs w:val="24"/>
        </w:rPr>
      </w:pPr>
    </w:p>
    <w:p w14:paraId="5861DC4E" w14:textId="3D4D7799" w:rsidR="00384438" w:rsidRDefault="00384438">
      <w:pPr>
        <w:rPr>
          <w:rFonts w:ascii="Times New Roman" w:hAnsi="Times New Roman" w:cs="Times New Roman"/>
          <w:sz w:val="24"/>
          <w:szCs w:val="24"/>
        </w:rPr>
      </w:pPr>
    </w:p>
    <w:p w14:paraId="5FF20B90" w14:textId="63B26B20" w:rsidR="00384438" w:rsidRDefault="00384438">
      <w:pPr>
        <w:rPr>
          <w:rFonts w:ascii="Times New Roman" w:hAnsi="Times New Roman" w:cs="Times New Roman"/>
          <w:sz w:val="24"/>
          <w:szCs w:val="24"/>
        </w:rPr>
      </w:pPr>
    </w:p>
    <w:p w14:paraId="4EC4A655" w14:textId="692DE072" w:rsidR="00384438" w:rsidRDefault="00384438">
      <w:pPr>
        <w:rPr>
          <w:rFonts w:ascii="Times New Roman" w:hAnsi="Times New Roman" w:cs="Times New Roman"/>
          <w:sz w:val="24"/>
          <w:szCs w:val="24"/>
        </w:rPr>
      </w:pPr>
    </w:p>
    <w:p w14:paraId="20085FE4" w14:textId="7C536592" w:rsidR="00384438" w:rsidRDefault="00384438">
      <w:pPr>
        <w:rPr>
          <w:rFonts w:ascii="Times New Roman" w:hAnsi="Times New Roman" w:cs="Times New Roman"/>
          <w:sz w:val="24"/>
          <w:szCs w:val="24"/>
        </w:rPr>
      </w:pPr>
    </w:p>
    <w:p w14:paraId="61EA1C0A" w14:textId="77777777" w:rsidR="00384438" w:rsidRDefault="00384438">
      <w:pPr>
        <w:rPr>
          <w:rFonts w:ascii="Times New Roman" w:hAnsi="Times New Roman" w:cs="Times New Roman"/>
          <w:sz w:val="24"/>
          <w:szCs w:val="24"/>
        </w:rPr>
      </w:pPr>
    </w:p>
    <w:p w14:paraId="533C72D3" w14:textId="77777777" w:rsidR="00602F41" w:rsidRDefault="00602F41">
      <w:pPr>
        <w:pStyle w:val="box47466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  <w:sz w:val="22"/>
          <w:szCs w:val="22"/>
        </w:rPr>
      </w:pPr>
    </w:p>
    <w:p w14:paraId="510DDD2C" w14:textId="77777777" w:rsidR="00602F41" w:rsidRDefault="00576808">
      <w:pPr>
        <w:pStyle w:val="box47466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rFonts w:ascii="Arial" w:hAnsi="Arial" w:cs="Arial"/>
          <w:b/>
          <w:color w:val="231F20"/>
          <w:sz w:val="22"/>
          <w:szCs w:val="22"/>
        </w:rPr>
        <w:lastRenderedPageBreak/>
        <w:t xml:space="preserve">POSEBNI IZVJEŠTAJ U GODIŠNJEM IZVJEŠTAJU O IZVRŠENJU FINANCIJSKOG </w:t>
      </w:r>
      <w:r>
        <w:rPr>
          <w:b/>
          <w:color w:val="231F20"/>
        </w:rPr>
        <w:t>PLANA</w:t>
      </w:r>
    </w:p>
    <w:p w14:paraId="1BEAB6A1" w14:textId="3C2A0B48" w:rsidR="00602F41" w:rsidRDefault="00602F41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3FF973C" w14:textId="77777777" w:rsidR="00384438" w:rsidRDefault="00384438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166D0992" w14:textId="77777777" w:rsidR="00602F41" w:rsidRDefault="00602F41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7014D9A9" w14:textId="77777777" w:rsidR="00602F41" w:rsidRDefault="00576808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Izvještaj o zaduživanju na domaćem i stranom tržištu novca i kapitala</w:t>
      </w:r>
    </w:p>
    <w:p w14:paraId="6AEF2E5D" w14:textId="454D7C68" w:rsidR="00602F41" w:rsidRDefault="0057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-Škola se u 202</w:t>
      </w:r>
      <w:r w:rsidR="0038443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godini nije zaduživala na domaćem  i stranom tržištu novca i kapitala te  nemamo zaduživanja po dugoročnim kreditima i zajmovima.</w:t>
      </w:r>
    </w:p>
    <w:p w14:paraId="74D29D4B" w14:textId="77777777" w:rsidR="00602F41" w:rsidRDefault="00602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93BA8" w14:textId="77777777" w:rsidR="00602F41" w:rsidRDefault="00576808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b/>
        </w:rPr>
      </w:pPr>
      <w:r>
        <w:rPr>
          <w:b/>
        </w:rPr>
        <w:t>Izvještaj o korištenju sredstava fondova Europske unije</w:t>
      </w:r>
    </w:p>
    <w:p w14:paraId="64A28E25" w14:textId="77777777" w:rsidR="00602F41" w:rsidRDefault="00576808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-Škola ne koristi sredstva fondova Europske unije.</w:t>
      </w:r>
    </w:p>
    <w:p w14:paraId="4B3413C8" w14:textId="77777777" w:rsidR="00602F41" w:rsidRDefault="00602F41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shd w:val="clear" w:color="auto" w:fill="FFFFFF"/>
        </w:rPr>
      </w:pPr>
    </w:p>
    <w:p w14:paraId="27E7C08A" w14:textId="77777777" w:rsidR="00602F41" w:rsidRDefault="00576808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</w:pPr>
      <w:r>
        <w:rPr>
          <w:b/>
        </w:rPr>
        <w:t>Izvještaj o danim zajmovima i potraživanjima po danim zajmovima</w:t>
      </w:r>
    </w:p>
    <w:p w14:paraId="00D242A8" w14:textId="77777777" w:rsidR="00602F41" w:rsidRDefault="00576808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-Škola nema dane zajmove i potraživanja.</w:t>
      </w:r>
    </w:p>
    <w:p w14:paraId="1D53D650" w14:textId="77777777" w:rsidR="00602F41" w:rsidRDefault="00602F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4518625" w14:textId="77777777" w:rsidR="00602F41" w:rsidRDefault="00576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Izvještaj o stanju potencijalnih obveza po osnovi sudskih sporova proračunskog  korisnika na kraju proračunske godine.</w:t>
      </w:r>
    </w:p>
    <w:p w14:paraId="3693F892" w14:textId="77777777" w:rsidR="00602F41" w:rsidRDefault="0057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Škola nema navedenih  potencijalnih obveza po osnovi sudskih sporova.</w:t>
      </w:r>
    </w:p>
    <w:p w14:paraId="65B3C0EE" w14:textId="77777777" w:rsidR="00602F41" w:rsidRDefault="00602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FD6259" w14:textId="77777777" w:rsidR="00602F41" w:rsidRDefault="00576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danim jamstvima i  plaćanjima  po protestnim jamstvima.</w:t>
      </w:r>
    </w:p>
    <w:p w14:paraId="02B2BBCA" w14:textId="77777777" w:rsidR="00602F41" w:rsidRDefault="00576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nema danih jamstava po protestnim jamstvima.</w:t>
      </w:r>
    </w:p>
    <w:p w14:paraId="1DDAE47D" w14:textId="77777777" w:rsidR="00602F41" w:rsidRDefault="00602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C5A6A" w14:textId="09B00E4F" w:rsidR="00602F41" w:rsidRDefault="00576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novčanih sredstava proračunskog korisnika na početku proračunske godine (01.01.202</w:t>
      </w:r>
      <w:r w:rsidR="003844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.) iznosi </w:t>
      </w:r>
      <w:r w:rsidR="00004308" w:rsidRPr="00004308">
        <w:rPr>
          <w:rFonts w:ascii="Times New Roman" w:hAnsi="Times New Roman" w:cs="Times New Roman"/>
          <w:sz w:val="24"/>
          <w:szCs w:val="24"/>
        </w:rPr>
        <w:t>46</w:t>
      </w:r>
      <w:r w:rsidR="00004308">
        <w:rPr>
          <w:rFonts w:ascii="Times New Roman" w:hAnsi="Times New Roman" w:cs="Times New Roman"/>
          <w:sz w:val="24"/>
          <w:szCs w:val="24"/>
        </w:rPr>
        <w:t>.</w:t>
      </w:r>
      <w:r w:rsidR="00004308" w:rsidRPr="00004308">
        <w:rPr>
          <w:rFonts w:ascii="Times New Roman" w:hAnsi="Times New Roman" w:cs="Times New Roman"/>
          <w:sz w:val="24"/>
          <w:szCs w:val="24"/>
        </w:rPr>
        <w:t>103,34</w:t>
      </w:r>
      <w:r w:rsidR="00004308">
        <w:rPr>
          <w:rFonts w:ascii="Times New Roman" w:hAnsi="Times New Roman" w:cs="Times New Roman"/>
          <w:sz w:val="24"/>
          <w:szCs w:val="24"/>
        </w:rPr>
        <w:t xml:space="preserve"> </w:t>
      </w:r>
      <w:r w:rsidR="00A60C12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, a na kraju proračunske godine (31.12.202</w:t>
      </w:r>
      <w:r w:rsidR="003844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.) iznosi </w:t>
      </w:r>
      <w:r w:rsidR="00004308">
        <w:rPr>
          <w:rFonts w:ascii="Times New Roman" w:hAnsi="Times New Roman" w:cs="Times New Roman"/>
          <w:sz w:val="24"/>
          <w:szCs w:val="24"/>
        </w:rPr>
        <w:t>34.917,26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12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12B156" w14:textId="5AF3D941" w:rsidR="00384438" w:rsidRDefault="00384438">
      <w:pPr>
        <w:rPr>
          <w:rFonts w:ascii="Arial" w:hAnsi="Arial" w:cs="Arial"/>
          <w:sz w:val="24"/>
          <w:szCs w:val="24"/>
        </w:rPr>
      </w:pPr>
    </w:p>
    <w:p w14:paraId="5E5416C4" w14:textId="5AFA4AE6" w:rsidR="00384438" w:rsidRDefault="00384438">
      <w:pPr>
        <w:rPr>
          <w:rFonts w:ascii="Arial" w:hAnsi="Arial" w:cs="Arial"/>
          <w:sz w:val="24"/>
          <w:szCs w:val="24"/>
        </w:rPr>
      </w:pPr>
    </w:p>
    <w:p w14:paraId="49F40225" w14:textId="77777777" w:rsidR="00602F41" w:rsidRDefault="00602F41">
      <w:pPr>
        <w:rPr>
          <w:rFonts w:ascii="Arial" w:hAnsi="Arial" w:cs="Arial"/>
          <w:sz w:val="24"/>
          <w:szCs w:val="24"/>
        </w:rPr>
      </w:pPr>
    </w:p>
    <w:p w14:paraId="4AFAC217" w14:textId="425C22CA" w:rsidR="00384438" w:rsidRDefault="00384438" w:rsidP="00384438">
      <w:pPr>
        <w:ind w:left="4956"/>
        <w:jc w:val="both"/>
      </w:pPr>
      <w:r>
        <w:t xml:space="preserve">       Ravnateljica:</w:t>
      </w:r>
    </w:p>
    <w:p w14:paraId="10F4C9B8" w14:textId="77777777" w:rsidR="00384438" w:rsidRDefault="00384438" w:rsidP="003844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19EB57C3" w14:textId="77777777" w:rsidR="00384438" w:rsidRDefault="00384438" w:rsidP="00384438">
      <w:pPr>
        <w:ind w:left="4248" w:firstLine="708"/>
        <w:jc w:val="both"/>
      </w:pPr>
      <w:r>
        <w:t>Astrid Massari dipl.učitelj</w:t>
      </w:r>
    </w:p>
    <w:p w14:paraId="2DA28C28" w14:textId="7FEFF165" w:rsidR="00384438" w:rsidRPr="00435E2E" w:rsidRDefault="00576808" w:rsidP="00435E2E">
      <w:pPr>
        <w:ind w:left="424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FE79486" w14:textId="77777777" w:rsidR="00384438" w:rsidRDefault="00384438" w:rsidP="00384438">
      <w:pPr>
        <w:pStyle w:val="Podnoje"/>
        <w:pBdr>
          <w:bottom w:val="single" w:sz="12" w:space="0" w:color="auto"/>
        </w:pBdr>
        <w:jc w:val="center"/>
        <w:rPr>
          <w:rFonts w:ascii="Comic Sans MS" w:hAnsi="Comic Sans MS"/>
          <w:sz w:val="16"/>
          <w:szCs w:val="16"/>
        </w:rPr>
      </w:pPr>
    </w:p>
    <w:p w14:paraId="0239C927" w14:textId="77777777" w:rsidR="00384438" w:rsidRDefault="00384438" w:rsidP="00384438">
      <w:pPr>
        <w:pStyle w:val="Podnoje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>
        <w:rPr>
          <w:rFonts w:ascii="Comic Sans MS" w:hAnsi="Comic Sans MS"/>
          <w:sz w:val="16"/>
          <w:szCs w:val="16"/>
        </w:rPr>
        <w:softHyphen/>
      </w:r>
      <w:r w:rsidRPr="00664861">
        <w:rPr>
          <w:rFonts w:ascii="Comic Sans MS" w:hAnsi="Comic Sans MS"/>
          <w:sz w:val="16"/>
          <w:szCs w:val="16"/>
        </w:rPr>
        <w:t>TEL.: 051-274-120</w:t>
      </w:r>
      <w:r>
        <w:rPr>
          <w:rFonts w:ascii="Comic Sans MS" w:hAnsi="Comic Sans MS"/>
          <w:sz w:val="16"/>
          <w:szCs w:val="16"/>
        </w:rPr>
        <w:t xml:space="preserve">  </w:t>
      </w:r>
      <w:r w:rsidRPr="00664861">
        <w:rPr>
          <w:rFonts w:ascii="Comic Sans MS" w:hAnsi="Comic Sans MS"/>
          <w:sz w:val="16"/>
          <w:szCs w:val="16"/>
        </w:rPr>
        <w:t>FAX: 051-274-121</w:t>
      </w:r>
      <w:r>
        <w:rPr>
          <w:rFonts w:ascii="Comic Sans MS" w:hAnsi="Comic Sans MS"/>
          <w:sz w:val="16"/>
          <w:szCs w:val="16"/>
        </w:rPr>
        <w:t xml:space="preserve">  </w:t>
      </w:r>
      <w:r w:rsidRPr="00664861">
        <w:rPr>
          <w:rFonts w:ascii="Comic Sans MS" w:hAnsi="Comic Sans MS"/>
          <w:sz w:val="16"/>
          <w:szCs w:val="16"/>
        </w:rPr>
        <w:t xml:space="preserve">E-MAIL: </w:t>
      </w:r>
      <w:hyperlink r:id="rId8" w:history="1">
        <w:r w:rsidRPr="00664861">
          <w:rPr>
            <w:rStyle w:val="Hiperveza"/>
            <w:rFonts w:ascii="Comic Sans MS" w:hAnsi="Comic Sans MS"/>
            <w:sz w:val="16"/>
            <w:szCs w:val="16"/>
          </w:rPr>
          <w:t>osamohorovicic@skole.t-com.hr</w:t>
        </w:r>
      </w:hyperlink>
    </w:p>
    <w:p w14:paraId="7DE682EE" w14:textId="77777777" w:rsidR="00384438" w:rsidRDefault="00384438" w:rsidP="00384438">
      <w:pPr>
        <w:pStyle w:val="Podnoje"/>
        <w:jc w:val="center"/>
        <w:rPr>
          <w:rFonts w:ascii="Comic Sans MS" w:hAnsi="Comic Sans MS"/>
          <w:sz w:val="16"/>
          <w:szCs w:val="16"/>
        </w:rPr>
      </w:pPr>
      <w:r w:rsidRPr="00A95D49">
        <w:rPr>
          <w:rFonts w:ascii="Comic Sans MS" w:hAnsi="Comic Sans MS"/>
          <w:sz w:val="16"/>
          <w:szCs w:val="16"/>
        </w:rPr>
        <w:t>M.B. 1170686,  Žiro-račun br. 2402006-1100107545</w:t>
      </w:r>
    </w:p>
    <w:p w14:paraId="0F39D349" w14:textId="77777777" w:rsidR="00384438" w:rsidRPr="00050D63" w:rsidRDefault="00384438" w:rsidP="00384438">
      <w:pPr>
        <w:pStyle w:val="Podnoje"/>
        <w:jc w:val="center"/>
      </w:pPr>
      <w:r>
        <w:rPr>
          <w:rFonts w:ascii="Comic Sans MS" w:hAnsi="Comic Sans MS"/>
          <w:sz w:val="16"/>
          <w:szCs w:val="16"/>
        </w:rPr>
        <w:t>OIB: 86016211479</w:t>
      </w:r>
    </w:p>
    <w:p w14:paraId="31031E02" w14:textId="70DAE564" w:rsidR="00602F41" w:rsidRDefault="00576808">
      <w:pPr>
        <w:ind w:left="424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602F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9C3D" w14:textId="77777777" w:rsidR="00FF4A06" w:rsidRDefault="00FF4A06">
      <w:pPr>
        <w:spacing w:line="240" w:lineRule="auto"/>
      </w:pPr>
      <w:r>
        <w:separator/>
      </w:r>
    </w:p>
  </w:endnote>
  <w:endnote w:type="continuationSeparator" w:id="0">
    <w:p w14:paraId="77356923" w14:textId="77777777" w:rsidR="00FF4A06" w:rsidRDefault="00FF4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762D" w14:textId="77777777" w:rsidR="00602F41" w:rsidRDefault="00602F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CC40" w14:textId="77777777" w:rsidR="00602F41" w:rsidRDefault="00602F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C6F3" w14:textId="77777777" w:rsidR="00602F41" w:rsidRDefault="00602F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A287" w14:textId="77777777" w:rsidR="00FF4A06" w:rsidRDefault="00FF4A06">
      <w:pPr>
        <w:spacing w:after="0"/>
      </w:pPr>
      <w:r>
        <w:separator/>
      </w:r>
    </w:p>
  </w:footnote>
  <w:footnote w:type="continuationSeparator" w:id="0">
    <w:p w14:paraId="0575EAE1" w14:textId="77777777" w:rsidR="00FF4A06" w:rsidRDefault="00FF4A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A69E" w14:textId="77777777" w:rsidR="00602F41" w:rsidRDefault="00602F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DAA4" w14:textId="77777777" w:rsidR="00602F41" w:rsidRDefault="00602F4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04BA" w14:textId="77777777" w:rsidR="00602F41" w:rsidRDefault="00602F4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1E2"/>
    <w:multiLevelType w:val="multilevel"/>
    <w:tmpl w:val="097A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DBE0A62"/>
    <w:multiLevelType w:val="multilevel"/>
    <w:tmpl w:val="2DBE0A6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C26A86"/>
    <w:multiLevelType w:val="multilevel"/>
    <w:tmpl w:val="4CC26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744678DC"/>
    <w:multiLevelType w:val="multilevel"/>
    <w:tmpl w:val="74467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F7C"/>
    <w:rsid w:val="00004308"/>
    <w:rsid w:val="00012739"/>
    <w:rsid w:val="00013DDF"/>
    <w:rsid w:val="00037FE8"/>
    <w:rsid w:val="0004175C"/>
    <w:rsid w:val="000733F7"/>
    <w:rsid w:val="00075037"/>
    <w:rsid w:val="00076B61"/>
    <w:rsid w:val="000A4819"/>
    <w:rsid w:val="000B05E2"/>
    <w:rsid w:val="000C46D4"/>
    <w:rsid w:val="000E71FB"/>
    <w:rsid w:val="00145169"/>
    <w:rsid w:val="00147A39"/>
    <w:rsid w:val="001731E9"/>
    <w:rsid w:val="001917A9"/>
    <w:rsid w:val="00191E83"/>
    <w:rsid w:val="0019269E"/>
    <w:rsid w:val="001B5B4D"/>
    <w:rsid w:val="001B6276"/>
    <w:rsid w:val="001C5F0C"/>
    <w:rsid w:val="001E35A2"/>
    <w:rsid w:val="00211C90"/>
    <w:rsid w:val="0022764E"/>
    <w:rsid w:val="00234150"/>
    <w:rsid w:val="00246711"/>
    <w:rsid w:val="002470D6"/>
    <w:rsid w:val="00250BEB"/>
    <w:rsid w:val="002601BA"/>
    <w:rsid w:val="00260815"/>
    <w:rsid w:val="002661AD"/>
    <w:rsid w:val="002966D5"/>
    <w:rsid w:val="002B1690"/>
    <w:rsid w:val="002B6440"/>
    <w:rsid w:val="002C58C1"/>
    <w:rsid w:val="002C613A"/>
    <w:rsid w:val="002D4955"/>
    <w:rsid w:val="003059C2"/>
    <w:rsid w:val="00321271"/>
    <w:rsid w:val="00325D4B"/>
    <w:rsid w:val="00325F7C"/>
    <w:rsid w:val="00346759"/>
    <w:rsid w:val="00360112"/>
    <w:rsid w:val="00373C84"/>
    <w:rsid w:val="00384438"/>
    <w:rsid w:val="00396B6E"/>
    <w:rsid w:val="00397EF1"/>
    <w:rsid w:val="003A760F"/>
    <w:rsid w:val="003B4E63"/>
    <w:rsid w:val="003C102C"/>
    <w:rsid w:val="003D6B54"/>
    <w:rsid w:val="003D7427"/>
    <w:rsid w:val="003F11DC"/>
    <w:rsid w:val="003F4E49"/>
    <w:rsid w:val="003F56B2"/>
    <w:rsid w:val="00432EFE"/>
    <w:rsid w:val="00435E2E"/>
    <w:rsid w:val="00454866"/>
    <w:rsid w:val="00457F40"/>
    <w:rsid w:val="00460902"/>
    <w:rsid w:val="0047673F"/>
    <w:rsid w:val="00480714"/>
    <w:rsid w:val="004C370D"/>
    <w:rsid w:val="004E24F3"/>
    <w:rsid w:val="005046E7"/>
    <w:rsid w:val="005049D7"/>
    <w:rsid w:val="005126C4"/>
    <w:rsid w:val="00524272"/>
    <w:rsid w:val="005408DD"/>
    <w:rsid w:val="005457EF"/>
    <w:rsid w:val="00555D24"/>
    <w:rsid w:val="00560E52"/>
    <w:rsid w:val="00576722"/>
    <w:rsid w:val="00576808"/>
    <w:rsid w:val="00581E80"/>
    <w:rsid w:val="005D3FED"/>
    <w:rsid w:val="005D4855"/>
    <w:rsid w:val="005E3875"/>
    <w:rsid w:val="005F05FD"/>
    <w:rsid w:val="00602F41"/>
    <w:rsid w:val="00620C06"/>
    <w:rsid w:val="00620D2E"/>
    <w:rsid w:val="00625C9C"/>
    <w:rsid w:val="00626FC1"/>
    <w:rsid w:val="00633B81"/>
    <w:rsid w:val="00680243"/>
    <w:rsid w:val="0068258D"/>
    <w:rsid w:val="00687BDB"/>
    <w:rsid w:val="006A0664"/>
    <w:rsid w:val="006B0A5F"/>
    <w:rsid w:val="006B62A3"/>
    <w:rsid w:val="006C2E95"/>
    <w:rsid w:val="006D6896"/>
    <w:rsid w:val="006E40BB"/>
    <w:rsid w:val="006F25E7"/>
    <w:rsid w:val="0071127B"/>
    <w:rsid w:val="00711C2A"/>
    <w:rsid w:val="00750FFB"/>
    <w:rsid w:val="0076742E"/>
    <w:rsid w:val="007772D3"/>
    <w:rsid w:val="007B1937"/>
    <w:rsid w:val="007B32D7"/>
    <w:rsid w:val="007D3FF1"/>
    <w:rsid w:val="007D507D"/>
    <w:rsid w:val="007E5C51"/>
    <w:rsid w:val="007F37B5"/>
    <w:rsid w:val="007F7C14"/>
    <w:rsid w:val="008214C1"/>
    <w:rsid w:val="00826F5C"/>
    <w:rsid w:val="00851ACE"/>
    <w:rsid w:val="00851BD2"/>
    <w:rsid w:val="0088225D"/>
    <w:rsid w:val="00886659"/>
    <w:rsid w:val="008A1E10"/>
    <w:rsid w:val="008A5754"/>
    <w:rsid w:val="008A7BAD"/>
    <w:rsid w:val="008B15A9"/>
    <w:rsid w:val="008B5741"/>
    <w:rsid w:val="008D2E58"/>
    <w:rsid w:val="008F48BB"/>
    <w:rsid w:val="00913E71"/>
    <w:rsid w:val="00921712"/>
    <w:rsid w:val="00971D2A"/>
    <w:rsid w:val="009722B2"/>
    <w:rsid w:val="00983AC6"/>
    <w:rsid w:val="0098519B"/>
    <w:rsid w:val="009C6CC2"/>
    <w:rsid w:val="00A07E45"/>
    <w:rsid w:val="00A239FF"/>
    <w:rsid w:val="00A30511"/>
    <w:rsid w:val="00A349B8"/>
    <w:rsid w:val="00A35027"/>
    <w:rsid w:val="00A4588C"/>
    <w:rsid w:val="00A567F8"/>
    <w:rsid w:val="00A56E01"/>
    <w:rsid w:val="00A570E6"/>
    <w:rsid w:val="00A60C12"/>
    <w:rsid w:val="00A640CF"/>
    <w:rsid w:val="00AA3194"/>
    <w:rsid w:val="00AA4E80"/>
    <w:rsid w:val="00AC204C"/>
    <w:rsid w:val="00AE658E"/>
    <w:rsid w:val="00AE6F57"/>
    <w:rsid w:val="00B113BF"/>
    <w:rsid w:val="00B83FF6"/>
    <w:rsid w:val="00B96D53"/>
    <w:rsid w:val="00BB51CA"/>
    <w:rsid w:val="00BB691E"/>
    <w:rsid w:val="00BE4795"/>
    <w:rsid w:val="00BF24D1"/>
    <w:rsid w:val="00BF2A8B"/>
    <w:rsid w:val="00C04FD1"/>
    <w:rsid w:val="00C205BF"/>
    <w:rsid w:val="00C332D0"/>
    <w:rsid w:val="00C36326"/>
    <w:rsid w:val="00C37356"/>
    <w:rsid w:val="00C40A50"/>
    <w:rsid w:val="00C42343"/>
    <w:rsid w:val="00C43774"/>
    <w:rsid w:val="00C54F6A"/>
    <w:rsid w:val="00C55608"/>
    <w:rsid w:val="00C63C5E"/>
    <w:rsid w:val="00CA7027"/>
    <w:rsid w:val="00CB14A2"/>
    <w:rsid w:val="00CC313F"/>
    <w:rsid w:val="00CD660A"/>
    <w:rsid w:val="00CE7A8E"/>
    <w:rsid w:val="00CF226F"/>
    <w:rsid w:val="00CF3171"/>
    <w:rsid w:val="00D53224"/>
    <w:rsid w:val="00D73CAE"/>
    <w:rsid w:val="00DA5C2A"/>
    <w:rsid w:val="00DA650B"/>
    <w:rsid w:val="00DB196D"/>
    <w:rsid w:val="00DB320D"/>
    <w:rsid w:val="00DB32E7"/>
    <w:rsid w:val="00DB7983"/>
    <w:rsid w:val="00DC0E44"/>
    <w:rsid w:val="00DC2302"/>
    <w:rsid w:val="00DC3C5E"/>
    <w:rsid w:val="00DC7862"/>
    <w:rsid w:val="00DF794C"/>
    <w:rsid w:val="00E2422D"/>
    <w:rsid w:val="00E4265D"/>
    <w:rsid w:val="00E43BC6"/>
    <w:rsid w:val="00E61C7A"/>
    <w:rsid w:val="00EA3838"/>
    <w:rsid w:val="00EB458B"/>
    <w:rsid w:val="00EC1C0D"/>
    <w:rsid w:val="00ED046B"/>
    <w:rsid w:val="00ED66FC"/>
    <w:rsid w:val="00EE18A7"/>
    <w:rsid w:val="00EE2D0B"/>
    <w:rsid w:val="00EF3B8E"/>
    <w:rsid w:val="00EF5318"/>
    <w:rsid w:val="00EF6C21"/>
    <w:rsid w:val="00F02141"/>
    <w:rsid w:val="00F13308"/>
    <w:rsid w:val="00F15CDA"/>
    <w:rsid w:val="00F32461"/>
    <w:rsid w:val="00F46221"/>
    <w:rsid w:val="00F50A55"/>
    <w:rsid w:val="00F560C1"/>
    <w:rsid w:val="00F577DF"/>
    <w:rsid w:val="00F701CC"/>
    <w:rsid w:val="00F75EB9"/>
    <w:rsid w:val="00F84FFD"/>
    <w:rsid w:val="00F860D6"/>
    <w:rsid w:val="00F912D1"/>
    <w:rsid w:val="00FF4A06"/>
    <w:rsid w:val="0D9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28A3"/>
  <w15:docId w15:val="{3C18F51E-931D-4074-9FE9-DEE0215A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</w:style>
  <w:style w:type="paragraph" w:customStyle="1" w:styleId="box474667">
    <w:name w:val="box_47466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384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mohorovicic@skole.htnet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EE71-EFB5-4D37-A853-7C811B79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14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Linić</dc:creator>
  <cp:lastModifiedBy>Denis Slavić-Sušanj</cp:lastModifiedBy>
  <cp:revision>168</cp:revision>
  <cp:lastPrinted>2026-03-24T11:18:00Z</cp:lastPrinted>
  <dcterms:created xsi:type="dcterms:W3CDTF">2019-03-01T12:35:00Z</dcterms:created>
  <dcterms:modified xsi:type="dcterms:W3CDTF">2026-03-24T12:30:00Z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630D0339BDE14B2BA220661CA7BAFEC3_12</vt:lpwstr>
  </property>
</Properties>
</file>