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F666D">
        <w:tblPrEx>
          <w:tblCellMar>
            <w:top w:w="0" w:type="dxa"/>
            <w:bottom w:w="0" w:type="dxa"/>
          </w:tblCellMar>
        </w:tblPrEx>
        <w:trPr>
          <w:tblCellSpacing w:w="60" w:type="dxa"/>
        </w:trPr>
        <w:tc>
          <w:tcPr>
            <w:tcW w:w="1200" w:type="pct"/>
            <w:shd w:val="clear" w:color="auto" w:fill="E7F0F9"/>
          </w:tcPr>
          <w:p w:rsidR="00EF666D" w:rsidRDefault="001E7EE6">
            <w:pPr>
              <w:spacing w:after="0" w:line="240" w:lineRule="auto"/>
            </w:pPr>
            <w:bookmarkStart w:id="0" w:name="_GoBack"/>
            <w:bookmarkEnd w:id="0"/>
            <w:r>
              <w:rPr>
                <w:b/>
              </w:rPr>
              <w:t>RKP broj</w:t>
            </w:r>
          </w:p>
        </w:tc>
        <w:tc>
          <w:tcPr>
            <w:tcW w:w="0" w:type="auto"/>
            <w:shd w:val="clear" w:color="auto" w:fill="E7F0F9"/>
          </w:tcPr>
          <w:p w:rsidR="00EF666D" w:rsidRDefault="001E7EE6">
            <w:pPr>
              <w:spacing w:after="0" w:line="240" w:lineRule="auto"/>
            </w:pPr>
            <w:r>
              <w:t>10731</w:t>
            </w:r>
          </w:p>
        </w:tc>
      </w:tr>
      <w:tr w:rsidR="00EF666D">
        <w:tblPrEx>
          <w:tblCellMar>
            <w:top w:w="0" w:type="dxa"/>
            <w:bottom w:w="0" w:type="dxa"/>
          </w:tblCellMar>
        </w:tblPrEx>
        <w:trPr>
          <w:tblCellSpacing w:w="60" w:type="dxa"/>
        </w:trPr>
        <w:tc>
          <w:tcPr>
            <w:tcW w:w="1200" w:type="pct"/>
            <w:shd w:val="clear" w:color="auto" w:fill="E7F0F9"/>
          </w:tcPr>
          <w:p w:rsidR="00EF666D" w:rsidRDefault="001E7EE6">
            <w:pPr>
              <w:spacing w:after="0" w:line="240" w:lineRule="auto"/>
            </w:pPr>
            <w:r>
              <w:rPr>
                <w:b/>
              </w:rPr>
              <w:t>Naziv obveznika</w:t>
            </w:r>
          </w:p>
        </w:tc>
        <w:tc>
          <w:tcPr>
            <w:tcW w:w="0" w:type="auto"/>
            <w:shd w:val="clear" w:color="auto" w:fill="E7F0F9"/>
          </w:tcPr>
          <w:p w:rsidR="00EF666D" w:rsidRDefault="001E7EE6">
            <w:pPr>
              <w:spacing w:after="0" w:line="240" w:lineRule="auto"/>
            </w:pPr>
            <w:r>
              <w:t>OSNOVNA ŠKOLA Dr. ANDRIJA MOHOROVIČIĆ</w:t>
            </w:r>
          </w:p>
        </w:tc>
      </w:tr>
      <w:tr w:rsidR="00EF666D">
        <w:tblPrEx>
          <w:tblCellMar>
            <w:top w:w="0" w:type="dxa"/>
            <w:bottom w:w="0" w:type="dxa"/>
          </w:tblCellMar>
        </w:tblPrEx>
        <w:trPr>
          <w:tblCellSpacing w:w="60" w:type="dxa"/>
        </w:trPr>
        <w:tc>
          <w:tcPr>
            <w:tcW w:w="1200" w:type="pct"/>
            <w:shd w:val="clear" w:color="auto" w:fill="E7F0F9"/>
          </w:tcPr>
          <w:p w:rsidR="00EF666D" w:rsidRDefault="001E7EE6">
            <w:pPr>
              <w:spacing w:after="0" w:line="240" w:lineRule="auto"/>
            </w:pPr>
            <w:r>
              <w:rPr>
                <w:b/>
              </w:rPr>
              <w:t>Razina</w:t>
            </w:r>
          </w:p>
        </w:tc>
        <w:tc>
          <w:tcPr>
            <w:tcW w:w="0" w:type="auto"/>
            <w:shd w:val="clear" w:color="auto" w:fill="E7F0F9"/>
          </w:tcPr>
          <w:p w:rsidR="00EF666D" w:rsidRDefault="001E7EE6">
            <w:pPr>
              <w:spacing w:after="0" w:line="240" w:lineRule="auto"/>
            </w:pPr>
            <w:r>
              <w:t>31</w:t>
            </w:r>
          </w:p>
        </w:tc>
      </w:tr>
    </w:tbl>
    <w:p w:rsidR="00EF666D" w:rsidRDefault="001E7EE6">
      <w:r>
        <w:br/>
      </w:r>
    </w:p>
    <w:p w:rsidR="00EF666D" w:rsidRDefault="001E7EE6">
      <w:pPr>
        <w:spacing w:line="240" w:lineRule="auto"/>
        <w:jc w:val="center"/>
      </w:pPr>
      <w:r>
        <w:rPr>
          <w:b/>
          <w:sz w:val="28"/>
        </w:rPr>
        <w:t>BILJEŠKE UZ FINANCIJSKE IZVJEŠTAJE</w:t>
      </w:r>
    </w:p>
    <w:p w:rsidR="00EF666D" w:rsidRDefault="001E7EE6">
      <w:pPr>
        <w:spacing w:line="240" w:lineRule="auto"/>
        <w:jc w:val="center"/>
      </w:pPr>
      <w:r>
        <w:rPr>
          <w:b/>
          <w:sz w:val="28"/>
        </w:rPr>
        <w:t>ZA RAZDOBLJE</w:t>
      </w:r>
    </w:p>
    <w:p w:rsidR="00EF666D" w:rsidRDefault="001E7EE6">
      <w:pPr>
        <w:spacing w:line="240" w:lineRule="auto"/>
        <w:jc w:val="center"/>
      </w:pPr>
      <w:r>
        <w:rPr>
          <w:b/>
          <w:sz w:val="28"/>
        </w:rPr>
        <w:t>I - XII 2025.</w:t>
      </w:r>
    </w:p>
    <w:p w:rsidR="00EF666D" w:rsidRDefault="00EF666D"/>
    <w:p w:rsidR="00EF666D" w:rsidRDefault="001E7EE6">
      <w:pPr>
        <w:keepNext/>
        <w:spacing w:line="240" w:lineRule="auto"/>
        <w:jc w:val="center"/>
      </w:pPr>
      <w:r>
        <w:rPr>
          <w:b/>
          <w:sz w:val="28"/>
        </w:rPr>
        <w:t>Izvještaj o prihodima i rashodima, primicima i izdacima</w:t>
      </w:r>
    </w:p>
    <w:p w:rsidR="00EF666D" w:rsidRDefault="001E7EE6">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w:t>
            </w:r>
          </w:p>
        </w:tc>
        <w:tc>
          <w:tcPr>
            <w:tcW w:w="3180" w:type="dxa"/>
            <w:tcMar>
              <w:top w:w="0" w:type="dxa"/>
              <w:bottom w:w="0" w:type="dxa"/>
            </w:tcMar>
            <w:vAlign w:val="center"/>
          </w:tcPr>
          <w:p w:rsidR="00EF666D" w:rsidRDefault="001E7EE6">
            <w:pPr>
              <w:keepNext/>
              <w:keepLines/>
              <w:spacing w:after="0" w:line="240" w:lineRule="auto"/>
            </w:pPr>
            <w:r>
              <w:rPr>
                <w:sz w:val="18"/>
              </w:rPr>
              <w:t>PRIHODI POSLOVANJA (šifre 61+62+63+64+65+66+67+68)</w:t>
            </w:r>
          </w:p>
        </w:tc>
        <w:tc>
          <w:tcPr>
            <w:tcW w:w="700" w:type="dxa"/>
            <w:tcMar>
              <w:top w:w="0" w:type="dxa"/>
              <w:bottom w:w="0" w:type="dxa"/>
            </w:tcMar>
            <w:vAlign w:val="center"/>
          </w:tcPr>
          <w:p w:rsidR="00EF666D" w:rsidRDefault="001E7EE6">
            <w:pPr>
              <w:keepNext/>
              <w:keepLines/>
              <w:spacing w:after="0" w:line="240" w:lineRule="auto"/>
            </w:pPr>
            <w:r>
              <w:rPr>
                <w:sz w:val="18"/>
              </w:rPr>
              <w:t>6</w:t>
            </w:r>
          </w:p>
        </w:tc>
        <w:tc>
          <w:tcPr>
            <w:tcW w:w="1860" w:type="dxa"/>
            <w:tcMar>
              <w:top w:w="0" w:type="dxa"/>
              <w:bottom w:w="0" w:type="dxa"/>
            </w:tcMar>
            <w:vAlign w:val="center"/>
          </w:tcPr>
          <w:p w:rsidR="00EF666D" w:rsidRDefault="001E7EE6">
            <w:pPr>
              <w:keepNext/>
              <w:keepLines/>
              <w:spacing w:after="0" w:line="240" w:lineRule="auto"/>
              <w:jc w:val="right"/>
            </w:pPr>
            <w:r>
              <w:rPr>
                <w:sz w:val="18"/>
              </w:rPr>
              <w:t>2.513.205,97</w:t>
            </w:r>
          </w:p>
        </w:tc>
        <w:tc>
          <w:tcPr>
            <w:tcW w:w="1860" w:type="dxa"/>
            <w:tcMar>
              <w:top w:w="0" w:type="dxa"/>
              <w:bottom w:w="0" w:type="dxa"/>
            </w:tcMar>
            <w:vAlign w:val="center"/>
          </w:tcPr>
          <w:p w:rsidR="00EF666D" w:rsidRDefault="001E7EE6">
            <w:pPr>
              <w:keepNext/>
              <w:keepLines/>
              <w:spacing w:after="0" w:line="240" w:lineRule="auto"/>
              <w:jc w:val="right"/>
            </w:pPr>
            <w:r>
              <w:rPr>
                <w:sz w:val="18"/>
              </w:rPr>
              <w:t>2.799.374,46</w:t>
            </w:r>
          </w:p>
        </w:tc>
        <w:tc>
          <w:tcPr>
            <w:tcW w:w="700" w:type="dxa"/>
            <w:tcMar>
              <w:top w:w="0" w:type="dxa"/>
              <w:bottom w:w="0" w:type="dxa"/>
            </w:tcMar>
            <w:vAlign w:val="center"/>
          </w:tcPr>
          <w:p w:rsidR="00EF666D" w:rsidRDefault="001E7EE6">
            <w:pPr>
              <w:keepNext/>
              <w:keepLines/>
              <w:spacing w:after="0" w:line="240" w:lineRule="auto"/>
              <w:jc w:val="right"/>
            </w:pPr>
            <w:r>
              <w:rPr>
                <w:sz w:val="18"/>
              </w:rPr>
              <w:t>111,4</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w:t>
            </w:r>
          </w:p>
        </w:tc>
        <w:tc>
          <w:tcPr>
            <w:tcW w:w="3180" w:type="dxa"/>
            <w:tcMar>
              <w:top w:w="0" w:type="dxa"/>
              <w:bottom w:w="0" w:type="dxa"/>
            </w:tcMar>
            <w:vAlign w:val="center"/>
          </w:tcPr>
          <w:p w:rsidR="00EF666D" w:rsidRDefault="001E7EE6">
            <w:pPr>
              <w:keepNext/>
              <w:keepLines/>
              <w:spacing w:after="0" w:line="240" w:lineRule="auto"/>
            </w:pPr>
            <w:r>
              <w:rPr>
                <w:sz w:val="18"/>
              </w:rPr>
              <w:t>RASHODI POSLOVANJA (šifre 31+32+34+35+36+37+38)</w:t>
            </w:r>
          </w:p>
        </w:tc>
        <w:tc>
          <w:tcPr>
            <w:tcW w:w="700" w:type="dxa"/>
            <w:tcMar>
              <w:top w:w="0" w:type="dxa"/>
              <w:bottom w:w="0" w:type="dxa"/>
            </w:tcMar>
            <w:vAlign w:val="center"/>
          </w:tcPr>
          <w:p w:rsidR="00EF666D" w:rsidRDefault="001E7EE6">
            <w:pPr>
              <w:keepNext/>
              <w:keepLines/>
              <w:spacing w:after="0" w:line="240" w:lineRule="auto"/>
            </w:pPr>
            <w:r>
              <w:rPr>
                <w:sz w:val="18"/>
              </w:rPr>
              <w:t>3</w:t>
            </w:r>
          </w:p>
        </w:tc>
        <w:tc>
          <w:tcPr>
            <w:tcW w:w="1860" w:type="dxa"/>
            <w:tcMar>
              <w:top w:w="0" w:type="dxa"/>
              <w:bottom w:w="0" w:type="dxa"/>
            </w:tcMar>
            <w:vAlign w:val="center"/>
          </w:tcPr>
          <w:p w:rsidR="00EF666D" w:rsidRDefault="001E7EE6">
            <w:pPr>
              <w:keepNext/>
              <w:keepLines/>
              <w:spacing w:after="0" w:line="240" w:lineRule="auto"/>
              <w:jc w:val="right"/>
            </w:pPr>
            <w:r>
              <w:rPr>
                <w:sz w:val="18"/>
              </w:rPr>
              <w:t>2.482.010,45</w:t>
            </w:r>
          </w:p>
        </w:tc>
        <w:tc>
          <w:tcPr>
            <w:tcW w:w="1860" w:type="dxa"/>
            <w:tcMar>
              <w:top w:w="0" w:type="dxa"/>
              <w:bottom w:w="0" w:type="dxa"/>
            </w:tcMar>
            <w:vAlign w:val="center"/>
          </w:tcPr>
          <w:p w:rsidR="00EF666D" w:rsidRDefault="001E7EE6">
            <w:pPr>
              <w:keepNext/>
              <w:keepLines/>
              <w:spacing w:after="0" w:line="240" w:lineRule="auto"/>
              <w:jc w:val="right"/>
            </w:pPr>
            <w:r>
              <w:rPr>
                <w:sz w:val="18"/>
              </w:rPr>
              <w:t>2.987.342,88</w:t>
            </w:r>
          </w:p>
        </w:tc>
        <w:tc>
          <w:tcPr>
            <w:tcW w:w="700" w:type="dxa"/>
            <w:tcMar>
              <w:top w:w="0" w:type="dxa"/>
              <w:bottom w:w="0" w:type="dxa"/>
            </w:tcMar>
            <w:vAlign w:val="center"/>
          </w:tcPr>
          <w:p w:rsidR="00EF666D" w:rsidRDefault="001E7EE6">
            <w:pPr>
              <w:keepNext/>
              <w:keepLines/>
              <w:spacing w:after="0" w:line="240" w:lineRule="auto"/>
              <w:jc w:val="right"/>
            </w:pPr>
            <w:r>
              <w:rPr>
                <w:sz w:val="18"/>
              </w:rPr>
              <w:t>120,4</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b/>
                <w:sz w:val="18"/>
              </w:rPr>
              <w:t>MANJAK PRIHODA POSLOVANJA (šifre Z005-6)</w:t>
            </w:r>
          </w:p>
        </w:tc>
        <w:tc>
          <w:tcPr>
            <w:tcW w:w="700" w:type="dxa"/>
            <w:tcMar>
              <w:top w:w="0" w:type="dxa"/>
              <w:bottom w:w="0" w:type="dxa"/>
            </w:tcMar>
            <w:vAlign w:val="center"/>
          </w:tcPr>
          <w:p w:rsidR="00EF666D" w:rsidRDefault="001E7EE6">
            <w:pPr>
              <w:keepNext/>
              <w:keepLines/>
              <w:spacing w:after="0" w:line="240" w:lineRule="auto"/>
            </w:pPr>
            <w:r>
              <w:rPr>
                <w:b/>
                <w:sz w:val="18"/>
              </w:rPr>
              <w:t>Y001</w:t>
            </w:r>
          </w:p>
        </w:tc>
        <w:tc>
          <w:tcPr>
            <w:tcW w:w="1860" w:type="dxa"/>
            <w:tcMar>
              <w:top w:w="0" w:type="dxa"/>
              <w:bottom w:w="0" w:type="dxa"/>
            </w:tcMar>
            <w:vAlign w:val="center"/>
          </w:tcPr>
          <w:p w:rsidR="00EF666D" w:rsidRDefault="001E7EE6">
            <w:pPr>
              <w:keepNext/>
              <w:keepLines/>
              <w:spacing w:after="0" w:line="240" w:lineRule="auto"/>
              <w:jc w:val="right"/>
            </w:pPr>
            <w:r>
              <w:rPr>
                <w:b/>
                <w:sz w:val="18"/>
              </w:rPr>
              <w:t>0,00</w:t>
            </w:r>
          </w:p>
        </w:tc>
        <w:tc>
          <w:tcPr>
            <w:tcW w:w="1860" w:type="dxa"/>
            <w:tcMar>
              <w:top w:w="0" w:type="dxa"/>
              <w:bottom w:w="0" w:type="dxa"/>
            </w:tcMar>
            <w:vAlign w:val="center"/>
          </w:tcPr>
          <w:p w:rsidR="00EF666D" w:rsidRDefault="001E7EE6">
            <w:pPr>
              <w:keepNext/>
              <w:keepLines/>
              <w:spacing w:after="0" w:line="240" w:lineRule="auto"/>
              <w:jc w:val="right"/>
            </w:pPr>
            <w:r>
              <w:rPr>
                <w:b/>
                <w:sz w:val="18"/>
              </w:rPr>
              <w:t>187.968,42</w:t>
            </w:r>
          </w:p>
        </w:tc>
        <w:tc>
          <w:tcPr>
            <w:tcW w:w="700" w:type="dxa"/>
            <w:tcMar>
              <w:top w:w="0" w:type="dxa"/>
              <w:bottom w:w="0" w:type="dxa"/>
            </w:tcMar>
            <w:vAlign w:val="center"/>
          </w:tcPr>
          <w:p w:rsidR="00EF666D" w:rsidRDefault="001E7EE6">
            <w:pPr>
              <w:keepNext/>
              <w:keepLines/>
              <w:spacing w:after="0" w:line="240" w:lineRule="auto"/>
              <w:jc w:val="right"/>
            </w:pPr>
            <w:r>
              <w:rPr>
                <w:b/>
                <w:sz w:val="18"/>
              </w:rPr>
              <w:t>-</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7</w:t>
            </w:r>
          </w:p>
        </w:tc>
        <w:tc>
          <w:tcPr>
            <w:tcW w:w="3180" w:type="dxa"/>
            <w:tcMar>
              <w:top w:w="0" w:type="dxa"/>
              <w:bottom w:w="0" w:type="dxa"/>
            </w:tcMar>
            <w:vAlign w:val="center"/>
          </w:tcPr>
          <w:p w:rsidR="00EF666D" w:rsidRDefault="001E7EE6">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EF666D" w:rsidRDefault="001E7EE6">
            <w:pPr>
              <w:keepNext/>
              <w:keepLines/>
              <w:spacing w:after="0" w:line="240" w:lineRule="auto"/>
            </w:pPr>
            <w:r>
              <w:rPr>
                <w:sz w:val="18"/>
              </w:rPr>
              <w:t>7</w:t>
            </w:r>
          </w:p>
        </w:tc>
        <w:tc>
          <w:tcPr>
            <w:tcW w:w="1860" w:type="dxa"/>
            <w:tcMar>
              <w:top w:w="0" w:type="dxa"/>
              <w:bottom w:w="0" w:type="dxa"/>
            </w:tcMar>
            <w:vAlign w:val="center"/>
          </w:tcPr>
          <w:p w:rsidR="00EF666D" w:rsidRDefault="001E7EE6">
            <w:pPr>
              <w:keepNext/>
              <w:keepLines/>
              <w:spacing w:after="0" w:line="240" w:lineRule="auto"/>
              <w:jc w:val="right"/>
            </w:pPr>
            <w:r>
              <w:rPr>
                <w:sz w:val="18"/>
              </w:rPr>
              <w:t>73,95</w:t>
            </w:r>
          </w:p>
        </w:tc>
        <w:tc>
          <w:tcPr>
            <w:tcW w:w="1860" w:type="dxa"/>
            <w:tcMar>
              <w:top w:w="0" w:type="dxa"/>
              <w:bottom w:w="0" w:type="dxa"/>
            </w:tcMar>
            <w:vAlign w:val="center"/>
          </w:tcPr>
          <w:p w:rsidR="00EF666D" w:rsidRDefault="001E7EE6">
            <w:pPr>
              <w:keepNext/>
              <w:keepLines/>
              <w:spacing w:after="0" w:line="240" w:lineRule="auto"/>
              <w:jc w:val="right"/>
            </w:pPr>
            <w:r>
              <w:rPr>
                <w:sz w:val="18"/>
              </w:rPr>
              <w:t>79,82</w:t>
            </w:r>
          </w:p>
        </w:tc>
        <w:tc>
          <w:tcPr>
            <w:tcW w:w="700" w:type="dxa"/>
            <w:tcMar>
              <w:top w:w="0" w:type="dxa"/>
              <w:bottom w:w="0" w:type="dxa"/>
            </w:tcMar>
            <w:vAlign w:val="center"/>
          </w:tcPr>
          <w:p w:rsidR="00EF666D" w:rsidRDefault="001E7EE6">
            <w:pPr>
              <w:keepNext/>
              <w:keepLines/>
              <w:spacing w:after="0" w:line="240" w:lineRule="auto"/>
              <w:jc w:val="right"/>
            </w:pPr>
            <w:r>
              <w:rPr>
                <w:sz w:val="18"/>
              </w:rPr>
              <w:t>107,9</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4</w:t>
            </w:r>
          </w:p>
        </w:tc>
        <w:tc>
          <w:tcPr>
            <w:tcW w:w="3180" w:type="dxa"/>
            <w:tcMar>
              <w:top w:w="0" w:type="dxa"/>
              <w:bottom w:w="0" w:type="dxa"/>
            </w:tcMar>
            <w:vAlign w:val="center"/>
          </w:tcPr>
          <w:p w:rsidR="00EF666D" w:rsidRDefault="001E7EE6">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EF666D" w:rsidRDefault="001E7EE6">
            <w:pPr>
              <w:keepNext/>
              <w:keepLines/>
              <w:spacing w:after="0" w:line="240" w:lineRule="auto"/>
            </w:pPr>
            <w:r>
              <w:rPr>
                <w:sz w:val="18"/>
              </w:rPr>
              <w:t>4</w:t>
            </w:r>
          </w:p>
        </w:tc>
        <w:tc>
          <w:tcPr>
            <w:tcW w:w="1860" w:type="dxa"/>
            <w:tcMar>
              <w:top w:w="0" w:type="dxa"/>
              <w:bottom w:w="0" w:type="dxa"/>
            </w:tcMar>
            <w:vAlign w:val="center"/>
          </w:tcPr>
          <w:p w:rsidR="00EF666D" w:rsidRDefault="001E7EE6">
            <w:pPr>
              <w:keepNext/>
              <w:keepLines/>
              <w:spacing w:after="0" w:line="240" w:lineRule="auto"/>
              <w:jc w:val="right"/>
            </w:pPr>
            <w:r>
              <w:rPr>
                <w:sz w:val="18"/>
              </w:rPr>
              <w:t>8.762,00</w:t>
            </w:r>
          </w:p>
        </w:tc>
        <w:tc>
          <w:tcPr>
            <w:tcW w:w="1860" w:type="dxa"/>
            <w:tcMar>
              <w:top w:w="0" w:type="dxa"/>
              <w:bottom w:w="0" w:type="dxa"/>
            </w:tcMar>
            <w:vAlign w:val="center"/>
          </w:tcPr>
          <w:p w:rsidR="00EF666D" w:rsidRDefault="001E7EE6">
            <w:pPr>
              <w:keepNext/>
              <w:keepLines/>
              <w:spacing w:after="0" w:line="240" w:lineRule="auto"/>
              <w:jc w:val="right"/>
            </w:pPr>
            <w:r>
              <w:rPr>
                <w:sz w:val="18"/>
              </w:rPr>
              <w:t>12.728,87</w:t>
            </w:r>
          </w:p>
        </w:tc>
        <w:tc>
          <w:tcPr>
            <w:tcW w:w="700" w:type="dxa"/>
            <w:tcMar>
              <w:top w:w="0" w:type="dxa"/>
              <w:bottom w:w="0" w:type="dxa"/>
            </w:tcMar>
            <w:vAlign w:val="center"/>
          </w:tcPr>
          <w:p w:rsidR="00EF666D" w:rsidRDefault="001E7EE6">
            <w:pPr>
              <w:keepNext/>
              <w:keepLines/>
              <w:spacing w:after="0" w:line="240" w:lineRule="auto"/>
              <w:jc w:val="right"/>
            </w:pPr>
            <w:r>
              <w:rPr>
                <w:sz w:val="18"/>
              </w:rPr>
              <w:t>145,3</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EF666D" w:rsidRDefault="001E7EE6">
            <w:pPr>
              <w:keepNext/>
              <w:keepLines/>
              <w:spacing w:after="0" w:line="240" w:lineRule="auto"/>
            </w:pPr>
            <w:r>
              <w:rPr>
                <w:b/>
                <w:sz w:val="18"/>
              </w:rPr>
              <w:t>Y002</w:t>
            </w:r>
          </w:p>
        </w:tc>
        <w:tc>
          <w:tcPr>
            <w:tcW w:w="1860" w:type="dxa"/>
            <w:tcMar>
              <w:top w:w="0" w:type="dxa"/>
              <w:bottom w:w="0" w:type="dxa"/>
            </w:tcMar>
            <w:vAlign w:val="center"/>
          </w:tcPr>
          <w:p w:rsidR="00EF666D" w:rsidRDefault="001E7EE6">
            <w:pPr>
              <w:keepNext/>
              <w:keepLines/>
              <w:spacing w:after="0" w:line="240" w:lineRule="auto"/>
              <w:jc w:val="right"/>
            </w:pPr>
            <w:r>
              <w:rPr>
                <w:b/>
                <w:sz w:val="18"/>
              </w:rPr>
              <w:t>8.688,05</w:t>
            </w:r>
          </w:p>
        </w:tc>
        <w:tc>
          <w:tcPr>
            <w:tcW w:w="1860" w:type="dxa"/>
            <w:tcMar>
              <w:top w:w="0" w:type="dxa"/>
              <w:bottom w:w="0" w:type="dxa"/>
            </w:tcMar>
            <w:vAlign w:val="center"/>
          </w:tcPr>
          <w:p w:rsidR="00EF666D" w:rsidRDefault="001E7EE6">
            <w:pPr>
              <w:keepNext/>
              <w:keepLines/>
              <w:spacing w:after="0" w:line="240" w:lineRule="auto"/>
              <w:jc w:val="right"/>
            </w:pPr>
            <w:r>
              <w:rPr>
                <w:b/>
                <w:sz w:val="18"/>
              </w:rPr>
              <w:t>12.649,05</w:t>
            </w:r>
          </w:p>
        </w:tc>
        <w:tc>
          <w:tcPr>
            <w:tcW w:w="700" w:type="dxa"/>
            <w:tcMar>
              <w:top w:w="0" w:type="dxa"/>
              <w:bottom w:w="0" w:type="dxa"/>
            </w:tcMar>
            <w:vAlign w:val="center"/>
          </w:tcPr>
          <w:p w:rsidR="00EF666D" w:rsidRDefault="001E7EE6">
            <w:pPr>
              <w:keepNext/>
              <w:keepLines/>
              <w:spacing w:after="0" w:line="240" w:lineRule="auto"/>
              <w:jc w:val="right"/>
            </w:pPr>
            <w:r>
              <w:rPr>
                <w:b/>
                <w:sz w:val="18"/>
              </w:rPr>
              <w:t>145,6</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8</w:t>
            </w:r>
          </w:p>
        </w:tc>
        <w:tc>
          <w:tcPr>
            <w:tcW w:w="3180" w:type="dxa"/>
            <w:tcMar>
              <w:top w:w="0" w:type="dxa"/>
              <w:bottom w:w="0" w:type="dxa"/>
            </w:tcMar>
            <w:vAlign w:val="center"/>
          </w:tcPr>
          <w:p w:rsidR="00EF666D" w:rsidRDefault="001E7EE6">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EF666D" w:rsidRDefault="001E7EE6">
            <w:pPr>
              <w:keepNext/>
              <w:keepLines/>
              <w:spacing w:after="0" w:line="240" w:lineRule="auto"/>
            </w:pPr>
            <w:r>
              <w:rPr>
                <w:sz w:val="18"/>
              </w:rPr>
              <w:t>8</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5</w:t>
            </w:r>
          </w:p>
        </w:tc>
        <w:tc>
          <w:tcPr>
            <w:tcW w:w="3180" w:type="dxa"/>
            <w:tcMar>
              <w:top w:w="0" w:type="dxa"/>
              <w:bottom w:w="0" w:type="dxa"/>
            </w:tcMar>
            <w:vAlign w:val="center"/>
          </w:tcPr>
          <w:p w:rsidR="00EF666D" w:rsidRDefault="001E7EE6">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EF666D" w:rsidRDefault="001E7EE6">
            <w:pPr>
              <w:keepNext/>
              <w:keepLines/>
              <w:spacing w:after="0" w:line="240" w:lineRule="auto"/>
            </w:pPr>
            <w:r>
              <w:rPr>
                <w:sz w:val="18"/>
              </w:rPr>
              <w:t>5</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EF666D" w:rsidRDefault="001E7EE6">
            <w:pPr>
              <w:keepNext/>
              <w:keepLines/>
              <w:spacing w:after="0" w:line="240" w:lineRule="auto"/>
            </w:pPr>
            <w:r>
              <w:rPr>
                <w:b/>
                <w:sz w:val="18"/>
              </w:rPr>
              <w:t>X003, Y003</w:t>
            </w:r>
          </w:p>
        </w:tc>
        <w:tc>
          <w:tcPr>
            <w:tcW w:w="1860" w:type="dxa"/>
            <w:tcMar>
              <w:top w:w="0" w:type="dxa"/>
              <w:bottom w:w="0" w:type="dxa"/>
            </w:tcMar>
            <w:vAlign w:val="center"/>
          </w:tcPr>
          <w:p w:rsidR="00EF666D" w:rsidRDefault="001E7EE6">
            <w:pPr>
              <w:keepNext/>
              <w:keepLines/>
              <w:spacing w:after="0" w:line="240" w:lineRule="auto"/>
              <w:jc w:val="right"/>
            </w:pPr>
            <w:r>
              <w:rPr>
                <w:b/>
                <w:sz w:val="18"/>
              </w:rPr>
              <w:t>0,00</w:t>
            </w:r>
          </w:p>
        </w:tc>
        <w:tc>
          <w:tcPr>
            <w:tcW w:w="1860" w:type="dxa"/>
            <w:tcMar>
              <w:top w:w="0" w:type="dxa"/>
              <w:bottom w:w="0" w:type="dxa"/>
            </w:tcMar>
            <w:vAlign w:val="center"/>
          </w:tcPr>
          <w:p w:rsidR="00EF666D" w:rsidRDefault="001E7EE6">
            <w:pPr>
              <w:keepNext/>
              <w:keepLines/>
              <w:spacing w:after="0" w:line="240" w:lineRule="auto"/>
              <w:jc w:val="right"/>
            </w:pPr>
            <w:r>
              <w:rPr>
                <w:b/>
                <w:sz w:val="18"/>
              </w:rPr>
              <w:t>0,00</w:t>
            </w:r>
          </w:p>
        </w:tc>
        <w:tc>
          <w:tcPr>
            <w:tcW w:w="700" w:type="dxa"/>
            <w:tcMar>
              <w:top w:w="0" w:type="dxa"/>
              <w:bottom w:w="0" w:type="dxa"/>
            </w:tcMar>
            <w:vAlign w:val="center"/>
          </w:tcPr>
          <w:p w:rsidR="00EF666D" w:rsidRDefault="001E7EE6">
            <w:pPr>
              <w:keepNext/>
              <w:keepLines/>
              <w:spacing w:after="0" w:line="240" w:lineRule="auto"/>
              <w:jc w:val="right"/>
            </w:pPr>
            <w:r>
              <w:rPr>
                <w:b/>
                <w:sz w:val="18"/>
              </w:rPr>
              <w:t>-</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b/>
                <w:sz w:val="18"/>
              </w:rPr>
              <w:t>MANJAK PRIHODA I PRIMITAKA (šifre Y345-X678)</w:t>
            </w:r>
          </w:p>
        </w:tc>
        <w:tc>
          <w:tcPr>
            <w:tcW w:w="700" w:type="dxa"/>
            <w:tcMar>
              <w:top w:w="0" w:type="dxa"/>
              <w:bottom w:w="0" w:type="dxa"/>
            </w:tcMar>
            <w:vAlign w:val="center"/>
          </w:tcPr>
          <w:p w:rsidR="00EF666D" w:rsidRDefault="001E7EE6">
            <w:pPr>
              <w:keepNext/>
              <w:keepLines/>
              <w:spacing w:after="0" w:line="240" w:lineRule="auto"/>
            </w:pPr>
            <w:r>
              <w:rPr>
                <w:b/>
                <w:sz w:val="18"/>
              </w:rPr>
              <w:t>Y005</w:t>
            </w:r>
          </w:p>
        </w:tc>
        <w:tc>
          <w:tcPr>
            <w:tcW w:w="1860" w:type="dxa"/>
            <w:tcMar>
              <w:top w:w="0" w:type="dxa"/>
              <w:bottom w:w="0" w:type="dxa"/>
            </w:tcMar>
            <w:vAlign w:val="center"/>
          </w:tcPr>
          <w:p w:rsidR="00EF666D" w:rsidRDefault="001E7EE6">
            <w:pPr>
              <w:keepNext/>
              <w:keepLines/>
              <w:spacing w:after="0" w:line="240" w:lineRule="auto"/>
              <w:jc w:val="right"/>
            </w:pPr>
            <w:r>
              <w:rPr>
                <w:b/>
                <w:sz w:val="18"/>
              </w:rPr>
              <w:t>0,00</w:t>
            </w:r>
          </w:p>
        </w:tc>
        <w:tc>
          <w:tcPr>
            <w:tcW w:w="1860" w:type="dxa"/>
            <w:tcMar>
              <w:top w:w="0" w:type="dxa"/>
              <w:bottom w:w="0" w:type="dxa"/>
            </w:tcMar>
            <w:vAlign w:val="center"/>
          </w:tcPr>
          <w:p w:rsidR="00EF666D" w:rsidRDefault="001E7EE6">
            <w:pPr>
              <w:keepNext/>
              <w:keepLines/>
              <w:spacing w:after="0" w:line="240" w:lineRule="auto"/>
              <w:jc w:val="right"/>
            </w:pPr>
            <w:r>
              <w:rPr>
                <w:b/>
                <w:sz w:val="18"/>
              </w:rPr>
              <w:t>200.617,47</w:t>
            </w:r>
          </w:p>
        </w:tc>
        <w:tc>
          <w:tcPr>
            <w:tcW w:w="700" w:type="dxa"/>
            <w:tcMar>
              <w:top w:w="0" w:type="dxa"/>
              <w:bottom w:w="0" w:type="dxa"/>
            </w:tcMar>
            <w:vAlign w:val="center"/>
          </w:tcPr>
          <w:p w:rsidR="00EF666D" w:rsidRDefault="001E7EE6">
            <w:pPr>
              <w:keepNext/>
              <w:keepLines/>
              <w:spacing w:after="0" w:line="240" w:lineRule="auto"/>
              <w:jc w:val="right"/>
            </w:pPr>
            <w:r>
              <w:rPr>
                <w:b/>
                <w:sz w:val="18"/>
              </w:rPr>
              <w:t>-</w:t>
            </w:r>
          </w:p>
        </w:tc>
      </w:tr>
    </w:tbl>
    <w:p w:rsidR="00EF666D" w:rsidRDefault="00EF666D">
      <w:pPr>
        <w:spacing w:after="0"/>
      </w:pPr>
    </w:p>
    <w:p w:rsidR="00EF666D" w:rsidRDefault="001E7EE6">
      <w:pPr>
        <w:jc w:val="both"/>
      </w:pPr>
      <w:r>
        <w:t>Prihodi poslovanja u razdoblju od 1. siječnja do 31. prosinca 2025. godine ostvareni su u iznosu od 2.799.374,46 EUR, odnosno 11,4% više u odnosu na ostvarene prihode u istom razdoblju 2024. godine. Na povećanje prihoda najvećim je dijelom utjecalo povećan</w:t>
      </w:r>
      <w:r>
        <w:t xml:space="preserve">je ostvarenih prihoda od tekućih pomoći iz državnog proračuna kojima se financiraju rashodi za zaposlene.  Rashodi poslovanja u razdoblju od 1. siječnja do 31. prosinca 2025. godine ostvareni su u iznosu od 2.987.342,88 EUR, odnosno 20,4% više u odnosu na </w:t>
      </w:r>
      <w:r>
        <w:t xml:space="preserve">ostvarene rashode u istom razdoblju 2024. godine. U izvještajnom razdoblju prethodne godine plaća za mjesec prosinac evidentirana je </w:t>
      </w:r>
      <w:r>
        <w:lastRenderedPageBreak/>
        <w:t>kao kontinuirani rashod budućeg razdoblja, a prema odredbama novog Pravilnika o proračunskom računovodstvu i Računskom plan</w:t>
      </w:r>
      <w:r>
        <w:t>u plaća za mjesec prosinac 2025. godine evidentirana je u izvještajnom razdoblju tekuće godine kao trinaesti rashod za zaposlene.  </w:t>
      </w:r>
    </w:p>
    <w:p w:rsidR="00EF666D" w:rsidRDefault="001E7EE6">
      <w:pPr>
        <w:jc w:val="both"/>
      </w:pPr>
      <w:r>
        <w:t>Ukupni prihodi od prodaje nefinancijske imovine u 2025. godini iznose 79,82 EUR. Rashodi za nabavu nefinancijske imovine u r</w:t>
      </w:r>
      <w:r>
        <w:t>azdoblju od 1. siječnja do 31. prosinca 2025. godine ostvareni su u iznosu od 12.728,87 EUR, odnosno 45,3% više u odnosu na ostvarene rashode u istom razdoblju 2024. godine. Na povećanje rashoda utjecala je nabava dugotrajne imovine kroz nabavu uredske opr</w:t>
      </w:r>
      <w:r>
        <w:t>eme i namještaja, postavljanje video nadzora, kroz nabavu opreme za ostale namjene, školske lektire i udžbenika.</w:t>
      </w:r>
    </w:p>
    <w:p w:rsidR="00EF666D" w:rsidRDefault="001E7EE6">
      <w:pPr>
        <w:jc w:val="both"/>
      </w:pPr>
      <w:r>
        <w:t>Manjak prihoda i primitaka izvještajnog razdoblja iznosi 200.617,47 EUR. U izvještajnom razdoblju tekuće godine ostvaren je manjak proračunskih</w:t>
      </w:r>
      <w:r>
        <w:t xml:space="preserve"> prihoda i primitaka u iznosu od 16.407,57 EUR iz izvora 111 - Porezni i ostali prihodi i izvora 4411 - Prihodi za decentralizirane funkcije. Manjak proračunskih prihoda i primitaka pokrit će se doznakom sredstva Primorsko-goranske županije u 2026. godini.</w:t>
      </w:r>
      <w:r>
        <w:t xml:space="preserve"> Manjak vanproračunskih prihoda tekuće godine u iznosu od 184.209,90 EUR odnosi se na rashode nastale radi trošenja prenesenih sredstava, rashode iz vlastitih prihoda, na rashode za plaću za mjesec prosinac 2025. godine, rashode za marende, udžbenike i pri</w:t>
      </w:r>
      <w:r>
        <w:t>jevoz učenika koja se financira pomoćima Ministarstva znanosti, obrazovanja i mladih te rashode iz prihoda za posebne namjene. Manjak vanproračunskih prihoda pokrit će se doznakom sredstava iz istih izvora u 2026. godini. Manjak prihoda i primitaka za pokr</w:t>
      </w:r>
      <w:r>
        <w:t>iće u sljedećem razdoblju iznosi 190.636,12 EUR jer je u izvještajno razdoblje prenesen Višak prihoda i primitaka u iznosu od 9.981,35 EUR.</w:t>
      </w:r>
    </w:p>
    <w:p w:rsidR="00EF666D" w:rsidRDefault="001E7EE6">
      <w:r>
        <w:br/>
      </w:r>
    </w:p>
    <w:p w:rsidR="00EF666D" w:rsidRDefault="001E7EE6">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6341</w:t>
            </w:r>
          </w:p>
        </w:tc>
        <w:tc>
          <w:tcPr>
            <w:tcW w:w="3180" w:type="dxa"/>
            <w:tcMar>
              <w:top w:w="0" w:type="dxa"/>
              <w:bottom w:w="0" w:type="dxa"/>
            </w:tcMar>
            <w:vAlign w:val="center"/>
          </w:tcPr>
          <w:p w:rsidR="00EF666D" w:rsidRDefault="001E7EE6">
            <w:pPr>
              <w:keepNext/>
              <w:keepLines/>
              <w:spacing w:after="0" w:line="240" w:lineRule="auto"/>
            </w:pPr>
            <w:r>
              <w:rPr>
                <w:sz w:val="18"/>
              </w:rPr>
              <w:t>Tekuće pomoći od izvanproračunskih korisnika</w:t>
            </w:r>
          </w:p>
        </w:tc>
        <w:tc>
          <w:tcPr>
            <w:tcW w:w="700" w:type="dxa"/>
            <w:tcMar>
              <w:top w:w="0" w:type="dxa"/>
              <w:bottom w:w="0" w:type="dxa"/>
            </w:tcMar>
            <w:vAlign w:val="center"/>
          </w:tcPr>
          <w:p w:rsidR="00EF666D" w:rsidRDefault="001E7EE6">
            <w:pPr>
              <w:keepNext/>
              <w:keepLines/>
              <w:spacing w:after="0" w:line="240" w:lineRule="auto"/>
            </w:pPr>
            <w:r>
              <w:rPr>
                <w:sz w:val="18"/>
              </w:rPr>
              <w:t>6341</w:t>
            </w:r>
          </w:p>
        </w:tc>
        <w:tc>
          <w:tcPr>
            <w:tcW w:w="1860" w:type="dxa"/>
            <w:tcMar>
              <w:top w:w="0" w:type="dxa"/>
              <w:bottom w:w="0" w:type="dxa"/>
            </w:tcMar>
            <w:vAlign w:val="center"/>
          </w:tcPr>
          <w:p w:rsidR="00EF666D" w:rsidRDefault="001E7EE6">
            <w:pPr>
              <w:keepNext/>
              <w:keepLines/>
              <w:spacing w:after="0" w:line="240" w:lineRule="auto"/>
              <w:jc w:val="right"/>
            </w:pPr>
            <w:r>
              <w:rPr>
                <w:sz w:val="18"/>
              </w:rPr>
              <w:t>8.552,28</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700" w:type="dxa"/>
            <w:tcMar>
              <w:top w:w="0" w:type="dxa"/>
              <w:bottom w:w="0" w:type="dxa"/>
            </w:tcMar>
            <w:vAlign w:val="center"/>
          </w:tcPr>
          <w:p w:rsidR="00EF666D" w:rsidRDefault="001E7EE6">
            <w:pPr>
              <w:keepNext/>
              <w:keepLines/>
              <w:spacing w:after="0" w:line="240" w:lineRule="auto"/>
              <w:jc w:val="right"/>
            </w:pPr>
            <w:r>
              <w:rPr>
                <w:sz w:val="18"/>
              </w:rPr>
              <w:t>0</w:t>
            </w:r>
          </w:p>
        </w:tc>
      </w:tr>
    </w:tbl>
    <w:p w:rsidR="00EF666D" w:rsidRDefault="00EF666D">
      <w:pPr>
        <w:spacing w:after="0"/>
      </w:pPr>
    </w:p>
    <w:p w:rsidR="00EF666D" w:rsidRDefault="001E7EE6">
      <w:pPr>
        <w:jc w:val="both"/>
      </w:pPr>
      <w:r>
        <w:t xml:space="preserve">Tekuće pomoći od izvanproračunskih korisnika u 2025. godini iskazane su u iznosu 0,00 EUR s obzirom na to da je tijekom prethodne godine završen pripravnički staž jedne djelatnice. Refundacije od strane HZZ-a i HZZO-a (temeljem </w:t>
      </w:r>
      <w:proofErr w:type="spellStart"/>
      <w:r>
        <w:t>rodiljnog</w:t>
      </w:r>
      <w:proofErr w:type="spellEnd"/>
      <w:r>
        <w:t xml:space="preserve"> dopusta i pripravn</w:t>
      </w:r>
      <w:r>
        <w:t>ištva) ostvarene su u cijelosti zaključno s rujnom 2024. godine, čime je prestala osnova za daljnje iskazivanje prihoda po ovoj stavci.</w:t>
      </w:r>
    </w:p>
    <w:p w:rsidR="00EF666D" w:rsidRDefault="00EF666D"/>
    <w:p w:rsidR="00EF666D" w:rsidRDefault="001E7EE6">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6361</w:t>
            </w:r>
          </w:p>
        </w:tc>
        <w:tc>
          <w:tcPr>
            <w:tcW w:w="3180" w:type="dxa"/>
            <w:tcMar>
              <w:top w:w="0" w:type="dxa"/>
              <w:bottom w:w="0" w:type="dxa"/>
            </w:tcMar>
            <w:vAlign w:val="center"/>
          </w:tcPr>
          <w:p w:rsidR="00EF666D" w:rsidRDefault="001E7EE6">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EF666D" w:rsidRDefault="001E7EE6">
            <w:pPr>
              <w:keepNext/>
              <w:keepLines/>
              <w:spacing w:after="0" w:line="240" w:lineRule="auto"/>
            </w:pPr>
            <w:r>
              <w:rPr>
                <w:sz w:val="18"/>
              </w:rPr>
              <w:t>6361</w:t>
            </w:r>
          </w:p>
        </w:tc>
        <w:tc>
          <w:tcPr>
            <w:tcW w:w="1860" w:type="dxa"/>
            <w:tcMar>
              <w:top w:w="0" w:type="dxa"/>
              <w:bottom w:w="0" w:type="dxa"/>
            </w:tcMar>
            <w:vAlign w:val="center"/>
          </w:tcPr>
          <w:p w:rsidR="00EF666D" w:rsidRDefault="001E7EE6">
            <w:pPr>
              <w:keepNext/>
              <w:keepLines/>
              <w:spacing w:after="0" w:line="240" w:lineRule="auto"/>
              <w:jc w:val="right"/>
            </w:pPr>
            <w:r>
              <w:rPr>
                <w:sz w:val="18"/>
              </w:rPr>
              <w:t>2.098.344,20</w:t>
            </w:r>
          </w:p>
        </w:tc>
        <w:tc>
          <w:tcPr>
            <w:tcW w:w="1860" w:type="dxa"/>
            <w:tcMar>
              <w:top w:w="0" w:type="dxa"/>
              <w:bottom w:w="0" w:type="dxa"/>
            </w:tcMar>
            <w:vAlign w:val="center"/>
          </w:tcPr>
          <w:p w:rsidR="00EF666D" w:rsidRDefault="001E7EE6">
            <w:pPr>
              <w:keepNext/>
              <w:keepLines/>
              <w:spacing w:after="0" w:line="240" w:lineRule="auto"/>
              <w:jc w:val="right"/>
            </w:pPr>
            <w:r>
              <w:rPr>
                <w:sz w:val="18"/>
              </w:rPr>
              <w:t>2.299.226,90</w:t>
            </w:r>
          </w:p>
        </w:tc>
        <w:tc>
          <w:tcPr>
            <w:tcW w:w="700" w:type="dxa"/>
            <w:tcMar>
              <w:top w:w="0" w:type="dxa"/>
              <w:bottom w:w="0" w:type="dxa"/>
            </w:tcMar>
            <w:vAlign w:val="center"/>
          </w:tcPr>
          <w:p w:rsidR="00EF666D" w:rsidRDefault="001E7EE6">
            <w:pPr>
              <w:keepNext/>
              <w:keepLines/>
              <w:spacing w:after="0" w:line="240" w:lineRule="auto"/>
              <w:jc w:val="right"/>
            </w:pPr>
            <w:r>
              <w:rPr>
                <w:sz w:val="18"/>
              </w:rPr>
              <w:t>109,6</w:t>
            </w:r>
          </w:p>
        </w:tc>
      </w:tr>
    </w:tbl>
    <w:p w:rsidR="00EF666D" w:rsidRDefault="00EF666D">
      <w:pPr>
        <w:spacing w:after="0"/>
      </w:pPr>
    </w:p>
    <w:p w:rsidR="00EF666D" w:rsidRDefault="001E7EE6">
      <w:pPr>
        <w:jc w:val="both"/>
      </w:pPr>
      <w:r>
        <w:lastRenderedPageBreak/>
        <w:t>Tekuće pomoći proračunskim korisnicima iz proračuna koji im nije nadležan kojima se financiraju rashodi za zaposlene više su za 9,6% radi rasta plaća u javnom sektoru koje se financiraju sredstvima Ministarstva znanosti, obrazovanja i mladih.</w:t>
      </w:r>
    </w:p>
    <w:p w:rsidR="00EF666D" w:rsidRDefault="00EF666D"/>
    <w:p w:rsidR="00EF666D" w:rsidRDefault="001E7EE6">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6362</w:t>
            </w:r>
          </w:p>
        </w:tc>
        <w:tc>
          <w:tcPr>
            <w:tcW w:w="3180" w:type="dxa"/>
            <w:tcMar>
              <w:top w:w="0" w:type="dxa"/>
              <w:bottom w:w="0" w:type="dxa"/>
            </w:tcMar>
            <w:vAlign w:val="center"/>
          </w:tcPr>
          <w:p w:rsidR="00EF666D" w:rsidRDefault="001E7EE6">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EF666D" w:rsidRDefault="001E7EE6">
            <w:pPr>
              <w:keepNext/>
              <w:keepLines/>
              <w:spacing w:after="0" w:line="240" w:lineRule="auto"/>
            </w:pPr>
            <w:r>
              <w:rPr>
                <w:sz w:val="18"/>
              </w:rPr>
              <w:t>6362</w:t>
            </w:r>
          </w:p>
        </w:tc>
        <w:tc>
          <w:tcPr>
            <w:tcW w:w="1860" w:type="dxa"/>
            <w:tcMar>
              <w:top w:w="0" w:type="dxa"/>
              <w:bottom w:w="0" w:type="dxa"/>
            </w:tcMar>
            <w:vAlign w:val="center"/>
          </w:tcPr>
          <w:p w:rsidR="00EF666D" w:rsidRDefault="001E7EE6">
            <w:pPr>
              <w:keepNext/>
              <w:keepLines/>
              <w:spacing w:after="0" w:line="240" w:lineRule="auto"/>
              <w:jc w:val="right"/>
            </w:pPr>
            <w:r>
              <w:rPr>
                <w:sz w:val="18"/>
              </w:rPr>
              <w:t>8.498,75</w:t>
            </w:r>
          </w:p>
        </w:tc>
        <w:tc>
          <w:tcPr>
            <w:tcW w:w="1860" w:type="dxa"/>
            <w:tcMar>
              <w:top w:w="0" w:type="dxa"/>
              <w:bottom w:w="0" w:type="dxa"/>
            </w:tcMar>
            <w:vAlign w:val="center"/>
          </w:tcPr>
          <w:p w:rsidR="00EF666D" w:rsidRDefault="001E7EE6">
            <w:pPr>
              <w:keepNext/>
              <w:keepLines/>
              <w:spacing w:after="0" w:line="240" w:lineRule="auto"/>
              <w:jc w:val="right"/>
            </w:pPr>
            <w:r>
              <w:rPr>
                <w:sz w:val="18"/>
              </w:rPr>
              <w:t>5.898,80</w:t>
            </w:r>
          </w:p>
        </w:tc>
        <w:tc>
          <w:tcPr>
            <w:tcW w:w="700" w:type="dxa"/>
            <w:tcMar>
              <w:top w:w="0" w:type="dxa"/>
              <w:bottom w:w="0" w:type="dxa"/>
            </w:tcMar>
            <w:vAlign w:val="center"/>
          </w:tcPr>
          <w:p w:rsidR="00EF666D" w:rsidRDefault="001E7EE6">
            <w:pPr>
              <w:keepNext/>
              <w:keepLines/>
              <w:spacing w:after="0" w:line="240" w:lineRule="auto"/>
              <w:jc w:val="right"/>
            </w:pPr>
            <w:r>
              <w:rPr>
                <w:sz w:val="18"/>
              </w:rPr>
              <w:t>69,4</w:t>
            </w:r>
          </w:p>
        </w:tc>
      </w:tr>
    </w:tbl>
    <w:p w:rsidR="00EF666D" w:rsidRDefault="00EF666D">
      <w:pPr>
        <w:spacing w:after="0"/>
      </w:pPr>
    </w:p>
    <w:p w:rsidR="00EF666D" w:rsidRDefault="001E7EE6">
      <w:pPr>
        <w:jc w:val="both"/>
      </w:pPr>
      <w:r>
        <w:t>Kapitalne pomoći proračunskim korisnicima iz proračuna koji im nije nadležan, a koje su namijenjene financiranju udžbenika i školske lektire, bilježe smanjenje od 30,6 % u odnosu na prethodnu godinu. Navedeno odstupanje proizlazi iz činjenice da je u prošl</w:t>
      </w:r>
      <w:r>
        <w:t>oj izvještajnoj godini, uz redovna sredstva, izvršena i jednokratna nabava kapitalne opreme (perilice posuđa), dok su u tekućoj godini sredstva utrošena isključivo na osnovnu namjenu.</w:t>
      </w:r>
    </w:p>
    <w:p w:rsidR="00EF666D" w:rsidRDefault="00EF666D"/>
    <w:p w:rsidR="00EF666D" w:rsidRDefault="001E7EE6">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w:t>
            </w:r>
            <w:r>
              <w:rPr>
                <w:b/>
                <w:sz w:val="18"/>
              </w:rPr>
              <w:t>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6526</w:t>
            </w:r>
          </w:p>
        </w:tc>
        <w:tc>
          <w:tcPr>
            <w:tcW w:w="3180" w:type="dxa"/>
            <w:tcMar>
              <w:top w:w="0" w:type="dxa"/>
              <w:bottom w:w="0" w:type="dxa"/>
            </w:tcMar>
            <w:vAlign w:val="center"/>
          </w:tcPr>
          <w:p w:rsidR="00EF666D" w:rsidRDefault="001E7EE6">
            <w:pPr>
              <w:keepNext/>
              <w:keepLines/>
              <w:spacing w:after="0" w:line="240" w:lineRule="auto"/>
            </w:pPr>
            <w:r>
              <w:rPr>
                <w:sz w:val="18"/>
              </w:rPr>
              <w:t>Ostali nespomenuti prihodi</w:t>
            </w:r>
          </w:p>
        </w:tc>
        <w:tc>
          <w:tcPr>
            <w:tcW w:w="700" w:type="dxa"/>
            <w:tcMar>
              <w:top w:w="0" w:type="dxa"/>
              <w:bottom w:w="0" w:type="dxa"/>
            </w:tcMar>
            <w:vAlign w:val="center"/>
          </w:tcPr>
          <w:p w:rsidR="00EF666D" w:rsidRDefault="001E7EE6">
            <w:pPr>
              <w:keepNext/>
              <w:keepLines/>
              <w:spacing w:after="0" w:line="240" w:lineRule="auto"/>
            </w:pPr>
            <w:r>
              <w:rPr>
                <w:sz w:val="18"/>
              </w:rPr>
              <w:t>6526</w:t>
            </w:r>
          </w:p>
        </w:tc>
        <w:tc>
          <w:tcPr>
            <w:tcW w:w="1860" w:type="dxa"/>
            <w:tcMar>
              <w:top w:w="0" w:type="dxa"/>
              <w:bottom w:w="0" w:type="dxa"/>
            </w:tcMar>
            <w:vAlign w:val="center"/>
          </w:tcPr>
          <w:p w:rsidR="00EF666D" w:rsidRDefault="001E7EE6">
            <w:pPr>
              <w:keepNext/>
              <w:keepLines/>
              <w:spacing w:after="0" w:line="240" w:lineRule="auto"/>
              <w:jc w:val="right"/>
            </w:pPr>
            <w:r>
              <w:rPr>
                <w:sz w:val="18"/>
              </w:rPr>
              <w:t>201.417,18</w:t>
            </w:r>
          </w:p>
        </w:tc>
        <w:tc>
          <w:tcPr>
            <w:tcW w:w="1860" w:type="dxa"/>
            <w:tcMar>
              <w:top w:w="0" w:type="dxa"/>
              <w:bottom w:w="0" w:type="dxa"/>
            </w:tcMar>
            <w:vAlign w:val="center"/>
          </w:tcPr>
          <w:p w:rsidR="00EF666D" w:rsidRDefault="001E7EE6">
            <w:pPr>
              <w:keepNext/>
              <w:keepLines/>
              <w:spacing w:after="0" w:line="240" w:lineRule="auto"/>
              <w:jc w:val="right"/>
            </w:pPr>
            <w:r>
              <w:rPr>
                <w:sz w:val="18"/>
              </w:rPr>
              <w:t>203.917,15</w:t>
            </w:r>
          </w:p>
        </w:tc>
        <w:tc>
          <w:tcPr>
            <w:tcW w:w="700" w:type="dxa"/>
            <w:tcMar>
              <w:top w:w="0" w:type="dxa"/>
              <w:bottom w:w="0" w:type="dxa"/>
            </w:tcMar>
            <w:vAlign w:val="center"/>
          </w:tcPr>
          <w:p w:rsidR="00EF666D" w:rsidRDefault="001E7EE6">
            <w:pPr>
              <w:keepNext/>
              <w:keepLines/>
              <w:spacing w:after="0" w:line="240" w:lineRule="auto"/>
              <w:jc w:val="right"/>
            </w:pPr>
            <w:r>
              <w:rPr>
                <w:sz w:val="18"/>
              </w:rPr>
              <w:t>101,2</w:t>
            </w:r>
          </w:p>
        </w:tc>
      </w:tr>
    </w:tbl>
    <w:p w:rsidR="00EF666D" w:rsidRDefault="00EF666D">
      <w:pPr>
        <w:spacing w:after="0"/>
      </w:pPr>
    </w:p>
    <w:p w:rsidR="00EF666D" w:rsidRDefault="001E7EE6">
      <w:pPr>
        <w:jc w:val="both"/>
      </w:pPr>
      <w:r>
        <w:t xml:space="preserve">Ostali nespomenuti prihodi bilježe blagi rast od 1,2% u odnosu na prethodnu godinu. Ovi prihodi obuhvaćaju uplate roditelja za troškove prehrane i rada učitelja u produženom boravku, kao i sufinanciranje dijela troškova od strane Općine Matulji. Ostvareni </w:t>
      </w:r>
      <w:r>
        <w:t>iznos potvrđuje stabilnost ukupnih primitaka po ovoj osnovi, uz zadržavanje sličnog obuhvata usluge u matičnoj i područnim školama.</w:t>
      </w:r>
    </w:p>
    <w:p w:rsidR="00EF666D" w:rsidRDefault="00EF666D"/>
    <w:p w:rsidR="00EF666D" w:rsidRDefault="001E7EE6">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6615</w:t>
            </w:r>
          </w:p>
        </w:tc>
        <w:tc>
          <w:tcPr>
            <w:tcW w:w="3180" w:type="dxa"/>
            <w:tcMar>
              <w:top w:w="0" w:type="dxa"/>
              <w:bottom w:w="0" w:type="dxa"/>
            </w:tcMar>
            <w:vAlign w:val="center"/>
          </w:tcPr>
          <w:p w:rsidR="00EF666D" w:rsidRDefault="001E7EE6">
            <w:pPr>
              <w:keepNext/>
              <w:keepLines/>
              <w:spacing w:after="0" w:line="240" w:lineRule="auto"/>
            </w:pPr>
            <w:r>
              <w:rPr>
                <w:sz w:val="18"/>
              </w:rPr>
              <w:t>Prihodi od pruženih usluga</w:t>
            </w:r>
          </w:p>
        </w:tc>
        <w:tc>
          <w:tcPr>
            <w:tcW w:w="700" w:type="dxa"/>
            <w:tcMar>
              <w:top w:w="0" w:type="dxa"/>
              <w:bottom w:w="0" w:type="dxa"/>
            </w:tcMar>
            <w:vAlign w:val="center"/>
          </w:tcPr>
          <w:p w:rsidR="00EF666D" w:rsidRDefault="001E7EE6">
            <w:pPr>
              <w:keepNext/>
              <w:keepLines/>
              <w:spacing w:after="0" w:line="240" w:lineRule="auto"/>
            </w:pPr>
            <w:r>
              <w:rPr>
                <w:sz w:val="18"/>
              </w:rPr>
              <w:t>6615</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1860" w:type="dxa"/>
            <w:tcMar>
              <w:top w:w="0" w:type="dxa"/>
              <w:bottom w:w="0" w:type="dxa"/>
            </w:tcMar>
            <w:vAlign w:val="center"/>
          </w:tcPr>
          <w:p w:rsidR="00EF666D" w:rsidRDefault="001E7EE6">
            <w:pPr>
              <w:keepNext/>
              <w:keepLines/>
              <w:spacing w:after="0" w:line="240" w:lineRule="auto"/>
              <w:jc w:val="right"/>
            </w:pPr>
            <w:r>
              <w:rPr>
                <w:sz w:val="18"/>
              </w:rPr>
              <w:t>7.350,22</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Na ovoj poziciji prihoda od tekuće godine evidentiraju se prihodi ostvareni temeljem sufinanciranja zajedničkih troškova s Dječjim vrtićem Matulji. Navedeno se odnosi na refundaciju pripadajućeg dijela troškova režija (električna energija, voda, odvoz otpa</w:t>
      </w:r>
      <w:r>
        <w:t>da) te troškova tekućeg održavanja i sitnih popravaka zajedničkih prostora, sukladno dogovorenom ključu raspodjele.</w:t>
      </w:r>
    </w:p>
    <w:p w:rsidR="00EF666D" w:rsidRDefault="00EF666D"/>
    <w:p w:rsidR="00EF666D" w:rsidRDefault="001E7EE6">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w:t>
            </w:r>
            <w:r>
              <w:rPr>
                <w:b/>
                <w:sz w:val="18"/>
              </w:rPr>
              <w:t>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6631</w:t>
            </w:r>
          </w:p>
        </w:tc>
        <w:tc>
          <w:tcPr>
            <w:tcW w:w="3180" w:type="dxa"/>
            <w:tcMar>
              <w:top w:w="0" w:type="dxa"/>
              <w:bottom w:w="0" w:type="dxa"/>
            </w:tcMar>
            <w:vAlign w:val="center"/>
          </w:tcPr>
          <w:p w:rsidR="00EF666D" w:rsidRDefault="001E7EE6">
            <w:pPr>
              <w:keepNext/>
              <w:keepLines/>
              <w:spacing w:after="0" w:line="240" w:lineRule="auto"/>
            </w:pPr>
            <w:r>
              <w:rPr>
                <w:sz w:val="18"/>
              </w:rPr>
              <w:t>Tekuće donacije</w:t>
            </w:r>
          </w:p>
        </w:tc>
        <w:tc>
          <w:tcPr>
            <w:tcW w:w="700" w:type="dxa"/>
            <w:tcMar>
              <w:top w:w="0" w:type="dxa"/>
              <w:bottom w:w="0" w:type="dxa"/>
            </w:tcMar>
            <w:vAlign w:val="center"/>
          </w:tcPr>
          <w:p w:rsidR="00EF666D" w:rsidRDefault="001E7EE6">
            <w:pPr>
              <w:keepNext/>
              <w:keepLines/>
              <w:spacing w:after="0" w:line="240" w:lineRule="auto"/>
            </w:pPr>
            <w:r>
              <w:rPr>
                <w:sz w:val="18"/>
              </w:rPr>
              <w:t>6631</w:t>
            </w:r>
          </w:p>
        </w:tc>
        <w:tc>
          <w:tcPr>
            <w:tcW w:w="1860" w:type="dxa"/>
            <w:tcMar>
              <w:top w:w="0" w:type="dxa"/>
              <w:bottom w:w="0" w:type="dxa"/>
            </w:tcMar>
            <w:vAlign w:val="center"/>
          </w:tcPr>
          <w:p w:rsidR="00EF666D" w:rsidRDefault="001E7EE6">
            <w:pPr>
              <w:keepNext/>
              <w:keepLines/>
              <w:spacing w:after="0" w:line="240" w:lineRule="auto"/>
              <w:jc w:val="right"/>
            </w:pPr>
            <w:r>
              <w:rPr>
                <w:sz w:val="18"/>
              </w:rPr>
              <w:t>1.055,45</w:t>
            </w:r>
          </w:p>
        </w:tc>
        <w:tc>
          <w:tcPr>
            <w:tcW w:w="1860" w:type="dxa"/>
            <w:tcMar>
              <w:top w:w="0" w:type="dxa"/>
              <w:bottom w:w="0" w:type="dxa"/>
            </w:tcMar>
            <w:vAlign w:val="center"/>
          </w:tcPr>
          <w:p w:rsidR="00EF666D" w:rsidRDefault="001E7EE6">
            <w:pPr>
              <w:keepNext/>
              <w:keepLines/>
              <w:spacing w:after="0" w:line="240" w:lineRule="auto"/>
              <w:jc w:val="right"/>
            </w:pPr>
            <w:r>
              <w:rPr>
                <w:sz w:val="18"/>
              </w:rPr>
              <w:t>240,00</w:t>
            </w:r>
          </w:p>
        </w:tc>
        <w:tc>
          <w:tcPr>
            <w:tcW w:w="700" w:type="dxa"/>
            <w:tcMar>
              <w:top w:w="0" w:type="dxa"/>
              <w:bottom w:w="0" w:type="dxa"/>
            </w:tcMar>
            <w:vAlign w:val="center"/>
          </w:tcPr>
          <w:p w:rsidR="00EF666D" w:rsidRDefault="001E7EE6">
            <w:pPr>
              <w:keepNext/>
              <w:keepLines/>
              <w:spacing w:after="0" w:line="240" w:lineRule="auto"/>
              <w:jc w:val="right"/>
            </w:pPr>
            <w:r>
              <w:rPr>
                <w:sz w:val="18"/>
              </w:rPr>
              <w:t>22,7</w:t>
            </w:r>
          </w:p>
        </w:tc>
      </w:tr>
    </w:tbl>
    <w:p w:rsidR="00EF666D" w:rsidRDefault="00EF666D">
      <w:pPr>
        <w:spacing w:after="0"/>
      </w:pPr>
    </w:p>
    <w:p w:rsidR="00EF666D" w:rsidRDefault="001E7EE6">
      <w:pPr>
        <w:jc w:val="both"/>
      </w:pPr>
      <w:r>
        <w:t xml:space="preserve">Tekuće donacije u ovoj su godini znatno niže u odnosu na prethodno izvještajno razdoblje. Navedeno smanjenje je očekivano s obzirom na to da su u prošloj godini prikupljena značajna namjenska sredstva za opremanje školske kuhinje u područnoj školi </w:t>
      </w:r>
      <w:proofErr w:type="spellStart"/>
      <w:r>
        <w:t>Jušići</w:t>
      </w:r>
      <w:proofErr w:type="spellEnd"/>
      <w:r>
        <w:t xml:space="preserve">, </w:t>
      </w:r>
      <w:r>
        <w:t>dok je u tekućoj godini zabilježena tek jedna donacija.</w:t>
      </w:r>
    </w:p>
    <w:p w:rsidR="00EF666D" w:rsidRDefault="00EF666D"/>
    <w:p w:rsidR="00EF666D" w:rsidRDefault="001E7EE6">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6711</w:t>
            </w:r>
          </w:p>
        </w:tc>
        <w:tc>
          <w:tcPr>
            <w:tcW w:w="3180" w:type="dxa"/>
            <w:tcMar>
              <w:top w:w="0" w:type="dxa"/>
              <w:bottom w:w="0" w:type="dxa"/>
            </w:tcMar>
            <w:vAlign w:val="center"/>
          </w:tcPr>
          <w:p w:rsidR="00EF666D" w:rsidRDefault="001E7EE6">
            <w:pPr>
              <w:keepNext/>
              <w:keepLines/>
              <w:spacing w:after="0" w:line="240" w:lineRule="auto"/>
            </w:pPr>
            <w:r>
              <w:rPr>
                <w:sz w:val="18"/>
              </w:rPr>
              <w:t xml:space="preserve">Prihodi iz nadležnog proračuna </w:t>
            </w:r>
            <w:r>
              <w:rPr>
                <w:sz w:val="18"/>
              </w:rPr>
              <w:t>za financiranje rashoda poslovanja</w:t>
            </w:r>
          </w:p>
        </w:tc>
        <w:tc>
          <w:tcPr>
            <w:tcW w:w="700" w:type="dxa"/>
            <w:tcMar>
              <w:top w:w="0" w:type="dxa"/>
              <w:bottom w:w="0" w:type="dxa"/>
            </w:tcMar>
            <w:vAlign w:val="center"/>
          </w:tcPr>
          <w:p w:rsidR="00EF666D" w:rsidRDefault="001E7EE6">
            <w:pPr>
              <w:keepNext/>
              <w:keepLines/>
              <w:spacing w:after="0" w:line="240" w:lineRule="auto"/>
            </w:pPr>
            <w:r>
              <w:rPr>
                <w:sz w:val="18"/>
              </w:rPr>
              <w:t>6711</w:t>
            </w:r>
          </w:p>
        </w:tc>
        <w:tc>
          <w:tcPr>
            <w:tcW w:w="1860" w:type="dxa"/>
            <w:tcMar>
              <w:top w:w="0" w:type="dxa"/>
              <w:bottom w:w="0" w:type="dxa"/>
            </w:tcMar>
            <w:vAlign w:val="center"/>
          </w:tcPr>
          <w:p w:rsidR="00EF666D" w:rsidRDefault="001E7EE6">
            <w:pPr>
              <w:keepNext/>
              <w:keepLines/>
              <w:spacing w:after="0" w:line="240" w:lineRule="auto"/>
              <w:jc w:val="right"/>
            </w:pPr>
            <w:r>
              <w:rPr>
                <w:sz w:val="18"/>
              </w:rPr>
              <w:t>195.327,84</w:t>
            </w:r>
          </w:p>
        </w:tc>
        <w:tc>
          <w:tcPr>
            <w:tcW w:w="1860" w:type="dxa"/>
            <w:tcMar>
              <w:top w:w="0" w:type="dxa"/>
              <w:bottom w:w="0" w:type="dxa"/>
            </w:tcMar>
            <w:vAlign w:val="center"/>
          </w:tcPr>
          <w:p w:rsidR="00EF666D" w:rsidRDefault="001E7EE6">
            <w:pPr>
              <w:keepNext/>
              <w:keepLines/>
              <w:spacing w:after="0" w:line="240" w:lineRule="auto"/>
              <w:jc w:val="right"/>
            </w:pPr>
            <w:r>
              <w:rPr>
                <w:sz w:val="18"/>
              </w:rPr>
              <w:t>280.229,50</w:t>
            </w:r>
          </w:p>
        </w:tc>
        <w:tc>
          <w:tcPr>
            <w:tcW w:w="700" w:type="dxa"/>
            <w:tcMar>
              <w:top w:w="0" w:type="dxa"/>
              <w:bottom w:w="0" w:type="dxa"/>
            </w:tcMar>
            <w:vAlign w:val="center"/>
          </w:tcPr>
          <w:p w:rsidR="00EF666D" w:rsidRDefault="001E7EE6">
            <w:pPr>
              <w:keepNext/>
              <w:keepLines/>
              <w:spacing w:after="0" w:line="240" w:lineRule="auto"/>
              <w:jc w:val="right"/>
            </w:pPr>
            <w:r>
              <w:rPr>
                <w:sz w:val="18"/>
              </w:rPr>
              <w:t>143,5</w:t>
            </w:r>
          </w:p>
        </w:tc>
      </w:tr>
    </w:tbl>
    <w:p w:rsidR="00EF666D" w:rsidRDefault="00EF666D">
      <w:pPr>
        <w:spacing w:after="0"/>
      </w:pPr>
    </w:p>
    <w:p w:rsidR="00EF666D" w:rsidRDefault="001E7EE6">
      <w:pPr>
        <w:jc w:val="both"/>
      </w:pPr>
      <w:r>
        <w:t>U tekućem izvještajnom razdoblju prihodi od nadležnog proračuna za financiranje rashoda poslovanja bilježe značajan rast od 43,5%. Navedeno povećanje primarno je uzrokovano osiguravanjem sredstava za veći broj pomoćnika u nastavi, kojih je u ovoj godini uk</w:t>
      </w:r>
      <w:r>
        <w:t>upno jedanaest u odnosu na prethodnih deset, te odobrenjem dodatnih 24.000,00 EUR s izvora 111 zbog nedostatnosti sredstava za redovnu djelatnost. Također, povećani prihodi prate kontinuirani rast troškova energenata, komunalnih usluga i tekućeg održavanja</w:t>
      </w:r>
      <w:r>
        <w:t xml:space="preserve"> dograđene školske zgrade te školske sportske dvorane, za koju škola podmiruje 30% troškova prema Općini Matulji.</w:t>
      </w:r>
    </w:p>
    <w:p w:rsidR="00EF666D" w:rsidRDefault="00EF666D"/>
    <w:p w:rsidR="00EF666D" w:rsidRDefault="001E7EE6">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6712</w:t>
            </w:r>
          </w:p>
        </w:tc>
        <w:tc>
          <w:tcPr>
            <w:tcW w:w="3180" w:type="dxa"/>
            <w:tcMar>
              <w:top w:w="0" w:type="dxa"/>
              <w:bottom w:w="0" w:type="dxa"/>
            </w:tcMar>
            <w:vAlign w:val="center"/>
          </w:tcPr>
          <w:p w:rsidR="00EF666D" w:rsidRDefault="001E7EE6">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EF666D" w:rsidRDefault="001E7EE6">
            <w:pPr>
              <w:keepNext/>
              <w:keepLines/>
              <w:spacing w:after="0" w:line="240" w:lineRule="auto"/>
            </w:pPr>
            <w:r>
              <w:rPr>
                <w:sz w:val="18"/>
              </w:rPr>
              <w:t>6712</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1860" w:type="dxa"/>
            <w:tcMar>
              <w:top w:w="0" w:type="dxa"/>
              <w:bottom w:w="0" w:type="dxa"/>
            </w:tcMar>
            <w:vAlign w:val="center"/>
          </w:tcPr>
          <w:p w:rsidR="00EF666D" w:rsidRDefault="001E7EE6">
            <w:pPr>
              <w:keepNext/>
              <w:keepLines/>
              <w:spacing w:after="0" w:line="240" w:lineRule="auto"/>
              <w:jc w:val="right"/>
            </w:pPr>
            <w:r>
              <w:rPr>
                <w:sz w:val="18"/>
              </w:rPr>
              <w:t>2.495,13</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Na stavci prihoda iz nadležnog proračuna za financiranje rashoda za nabavu nefinancijske imovine u ovoj je godini ostvareno 2.495,13 EUR, dok u prethodnoj godini po toj osnovi nije bilo prihoda. Navedena sredstva utrošena su za sufinanciranje troška ugradn</w:t>
      </w:r>
      <w:r>
        <w:t>je sustava video nadzora u Područnoj školi Rukavac.</w:t>
      </w:r>
    </w:p>
    <w:p w:rsidR="00EF666D" w:rsidRDefault="00EF666D"/>
    <w:p w:rsidR="00EF666D" w:rsidRDefault="001E7EE6">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311</w:t>
            </w:r>
          </w:p>
        </w:tc>
        <w:tc>
          <w:tcPr>
            <w:tcW w:w="3180" w:type="dxa"/>
            <w:tcMar>
              <w:top w:w="0" w:type="dxa"/>
              <w:bottom w:w="0" w:type="dxa"/>
            </w:tcMar>
            <w:vAlign w:val="center"/>
          </w:tcPr>
          <w:p w:rsidR="00EF666D" w:rsidRDefault="001E7EE6">
            <w:pPr>
              <w:keepNext/>
              <w:keepLines/>
              <w:spacing w:after="0" w:line="240" w:lineRule="auto"/>
            </w:pPr>
            <w:r>
              <w:rPr>
                <w:sz w:val="18"/>
              </w:rPr>
              <w:t>Plaće (bruto) (šifre 3111 do 3114)</w:t>
            </w:r>
          </w:p>
        </w:tc>
        <w:tc>
          <w:tcPr>
            <w:tcW w:w="700" w:type="dxa"/>
            <w:tcMar>
              <w:top w:w="0" w:type="dxa"/>
              <w:bottom w:w="0" w:type="dxa"/>
            </w:tcMar>
            <w:vAlign w:val="center"/>
          </w:tcPr>
          <w:p w:rsidR="00EF666D" w:rsidRDefault="001E7EE6">
            <w:pPr>
              <w:keepNext/>
              <w:keepLines/>
              <w:spacing w:after="0" w:line="240" w:lineRule="auto"/>
            </w:pPr>
            <w:r>
              <w:rPr>
                <w:sz w:val="18"/>
              </w:rPr>
              <w:t>311</w:t>
            </w:r>
          </w:p>
        </w:tc>
        <w:tc>
          <w:tcPr>
            <w:tcW w:w="1860" w:type="dxa"/>
            <w:tcMar>
              <w:top w:w="0" w:type="dxa"/>
              <w:bottom w:w="0" w:type="dxa"/>
            </w:tcMar>
            <w:vAlign w:val="center"/>
          </w:tcPr>
          <w:p w:rsidR="00EF666D" w:rsidRDefault="001E7EE6">
            <w:pPr>
              <w:keepNext/>
              <w:keepLines/>
              <w:spacing w:after="0" w:line="240" w:lineRule="auto"/>
              <w:jc w:val="right"/>
            </w:pPr>
            <w:r>
              <w:rPr>
                <w:sz w:val="18"/>
              </w:rPr>
              <w:t>1.709.866,33</w:t>
            </w:r>
          </w:p>
        </w:tc>
        <w:tc>
          <w:tcPr>
            <w:tcW w:w="1860" w:type="dxa"/>
            <w:tcMar>
              <w:top w:w="0" w:type="dxa"/>
              <w:bottom w:w="0" w:type="dxa"/>
            </w:tcMar>
            <w:vAlign w:val="center"/>
          </w:tcPr>
          <w:p w:rsidR="00EF666D" w:rsidRDefault="001E7EE6">
            <w:pPr>
              <w:keepNext/>
              <w:keepLines/>
              <w:spacing w:after="0" w:line="240" w:lineRule="auto"/>
              <w:jc w:val="right"/>
            </w:pPr>
            <w:r>
              <w:rPr>
                <w:sz w:val="18"/>
              </w:rPr>
              <w:t>2.090.545,88</w:t>
            </w:r>
          </w:p>
        </w:tc>
        <w:tc>
          <w:tcPr>
            <w:tcW w:w="700" w:type="dxa"/>
            <w:tcMar>
              <w:top w:w="0" w:type="dxa"/>
              <w:bottom w:w="0" w:type="dxa"/>
            </w:tcMar>
            <w:vAlign w:val="center"/>
          </w:tcPr>
          <w:p w:rsidR="00EF666D" w:rsidRDefault="001E7EE6">
            <w:pPr>
              <w:keepNext/>
              <w:keepLines/>
              <w:spacing w:after="0" w:line="240" w:lineRule="auto"/>
              <w:jc w:val="right"/>
            </w:pPr>
            <w:r>
              <w:rPr>
                <w:sz w:val="18"/>
              </w:rPr>
              <w:t>122,3</w:t>
            </w:r>
          </w:p>
        </w:tc>
      </w:tr>
    </w:tbl>
    <w:p w:rsidR="00EF666D" w:rsidRDefault="00EF666D">
      <w:pPr>
        <w:spacing w:after="0"/>
      </w:pPr>
    </w:p>
    <w:p w:rsidR="00EF666D" w:rsidRDefault="001E7EE6">
      <w:pPr>
        <w:jc w:val="both"/>
      </w:pPr>
      <w:r>
        <w:t>Rashodi za plaće (bruto) veći su za 22,3 % u odnosu na prethodnu godinu te iznose ukupno 2.090.545,88 EUR. Navedeno povećanje rezultat je primjene odredbi novog Pravilnika o proračunskom računovodstvu i Računskom planu, temeljem kojih je i plaća za prosina</w:t>
      </w:r>
      <w:r>
        <w:t>c 2025. godine evidentirana u izvještajnom razdoblju tekuće godine. Slijedom navedenoga, u ovoj su godini iskazani rashodi za ukupno trinaest isplata plaća, što je dovelo do odstupanja u usporedbi s prethodnim razdobljem.</w:t>
      </w:r>
    </w:p>
    <w:p w:rsidR="00EF666D" w:rsidRDefault="00EF666D"/>
    <w:p w:rsidR="00EF666D" w:rsidRDefault="001E7EE6">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312</w:t>
            </w:r>
          </w:p>
        </w:tc>
        <w:tc>
          <w:tcPr>
            <w:tcW w:w="3180" w:type="dxa"/>
            <w:tcMar>
              <w:top w:w="0" w:type="dxa"/>
              <w:bottom w:w="0" w:type="dxa"/>
            </w:tcMar>
            <w:vAlign w:val="center"/>
          </w:tcPr>
          <w:p w:rsidR="00EF666D" w:rsidRDefault="001E7EE6">
            <w:pPr>
              <w:keepNext/>
              <w:keepLines/>
              <w:spacing w:after="0" w:line="240" w:lineRule="auto"/>
            </w:pPr>
            <w:r>
              <w:rPr>
                <w:sz w:val="18"/>
              </w:rPr>
              <w:t>Ostali rashodi za zaposlene</w:t>
            </w:r>
          </w:p>
        </w:tc>
        <w:tc>
          <w:tcPr>
            <w:tcW w:w="700" w:type="dxa"/>
            <w:tcMar>
              <w:top w:w="0" w:type="dxa"/>
              <w:bottom w:w="0" w:type="dxa"/>
            </w:tcMar>
            <w:vAlign w:val="center"/>
          </w:tcPr>
          <w:p w:rsidR="00EF666D" w:rsidRDefault="001E7EE6">
            <w:pPr>
              <w:keepNext/>
              <w:keepLines/>
              <w:spacing w:after="0" w:line="240" w:lineRule="auto"/>
            </w:pPr>
            <w:r>
              <w:rPr>
                <w:sz w:val="18"/>
              </w:rPr>
              <w:t>312</w:t>
            </w:r>
          </w:p>
        </w:tc>
        <w:tc>
          <w:tcPr>
            <w:tcW w:w="1860" w:type="dxa"/>
            <w:tcMar>
              <w:top w:w="0" w:type="dxa"/>
              <w:bottom w:w="0" w:type="dxa"/>
            </w:tcMar>
            <w:vAlign w:val="center"/>
          </w:tcPr>
          <w:p w:rsidR="00EF666D" w:rsidRDefault="001E7EE6">
            <w:pPr>
              <w:keepNext/>
              <w:keepLines/>
              <w:spacing w:after="0" w:line="240" w:lineRule="auto"/>
              <w:jc w:val="right"/>
            </w:pPr>
            <w:r>
              <w:rPr>
                <w:sz w:val="18"/>
              </w:rPr>
              <w:t>79.805,62</w:t>
            </w:r>
          </w:p>
        </w:tc>
        <w:tc>
          <w:tcPr>
            <w:tcW w:w="1860" w:type="dxa"/>
            <w:tcMar>
              <w:top w:w="0" w:type="dxa"/>
              <w:bottom w:w="0" w:type="dxa"/>
            </w:tcMar>
            <w:vAlign w:val="center"/>
          </w:tcPr>
          <w:p w:rsidR="00EF666D" w:rsidRDefault="001E7EE6">
            <w:pPr>
              <w:keepNext/>
              <w:keepLines/>
              <w:spacing w:after="0" w:line="240" w:lineRule="auto"/>
              <w:jc w:val="right"/>
            </w:pPr>
            <w:r>
              <w:rPr>
                <w:sz w:val="18"/>
              </w:rPr>
              <w:t>79.904,56</w:t>
            </w:r>
          </w:p>
        </w:tc>
        <w:tc>
          <w:tcPr>
            <w:tcW w:w="700" w:type="dxa"/>
            <w:tcMar>
              <w:top w:w="0" w:type="dxa"/>
              <w:bottom w:w="0" w:type="dxa"/>
            </w:tcMar>
            <w:vAlign w:val="center"/>
          </w:tcPr>
          <w:p w:rsidR="00EF666D" w:rsidRDefault="001E7EE6">
            <w:pPr>
              <w:keepNext/>
              <w:keepLines/>
              <w:spacing w:after="0" w:line="240" w:lineRule="auto"/>
              <w:jc w:val="right"/>
            </w:pPr>
            <w:r>
              <w:rPr>
                <w:sz w:val="18"/>
              </w:rPr>
              <w:t>100,1</w:t>
            </w:r>
          </w:p>
        </w:tc>
      </w:tr>
    </w:tbl>
    <w:p w:rsidR="00EF666D" w:rsidRDefault="00EF666D">
      <w:pPr>
        <w:spacing w:after="0"/>
      </w:pPr>
    </w:p>
    <w:p w:rsidR="00EF666D" w:rsidRDefault="001E7EE6">
      <w:pPr>
        <w:jc w:val="both"/>
      </w:pPr>
      <w:r>
        <w:t>Ostali rashodi za zaposlene zadržali su se na istoj razini kao i prethodne godine, bez značajnijih odstupanja u iznosu i strukturi isplata.</w:t>
      </w:r>
    </w:p>
    <w:p w:rsidR="00EF666D" w:rsidRDefault="00EF666D"/>
    <w:p w:rsidR="00EF666D" w:rsidRDefault="001E7EE6">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313</w:t>
            </w:r>
          </w:p>
        </w:tc>
        <w:tc>
          <w:tcPr>
            <w:tcW w:w="3180" w:type="dxa"/>
            <w:tcMar>
              <w:top w:w="0" w:type="dxa"/>
              <w:bottom w:w="0" w:type="dxa"/>
            </w:tcMar>
            <w:vAlign w:val="center"/>
          </w:tcPr>
          <w:p w:rsidR="00EF666D" w:rsidRDefault="001E7EE6">
            <w:pPr>
              <w:keepNext/>
              <w:keepLines/>
              <w:spacing w:after="0" w:line="240" w:lineRule="auto"/>
            </w:pPr>
            <w:r>
              <w:rPr>
                <w:sz w:val="18"/>
              </w:rPr>
              <w:t>Doprinosi na plaće (šifre 3131 do 3133)</w:t>
            </w:r>
          </w:p>
        </w:tc>
        <w:tc>
          <w:tcPr>
            <w:tcW w:w="700" w:type="dxa"/>
            <w:tcMar>
              <w:top w:w="0" w:type="dxa"/>
              <w:bottom w:w="0" w:type="dxa"/>
            </w:tcMar>
            <w:vAlign w:val="center"/>
          </w:tcPr>
          <w:p w:rsidR="00EF666D" w:rsidRDefault="001E7EE6">
            <w:pPr>
              <w:keepNext/>
              <w:keepLines/>
              <w:spacing w:after="0" w:line="240" w:lineRule="auto"/>
            </w:pPr>
            <w:r>
              <w:rPr>
                <w:sz w:val="18"/>
              </w:rPr>
              <w:t>313</w:t>
            </w:r>
          </w:p>
        </w:tc>
        <w:tc>
          <w:tcPr>
            <w:tcW w:w="1860" w:type="dxa"/>
            <w:tcMar>
              <w:top w:w="0" w:type="dxa"/>
              <w:bottom w:w="0" w:type="dxa"/>
            </w:tcMar>
            <w:vAlign w:val="center"/>
          </w:tcPr>
          <w:p w:rsidR="00EF666D" w:rsidRDefault="001E7EE6">
            <w:pPr>
              <w:keepNext/>
              <w:keepLines/>
              <w:spacing w:after="0" w:line="240" w:lineRule="auto"/>
              <w:jc w:val="right"/>
            </w:pPr>
            <w:r>
              <w:rPr>
                <w:sz w:val="18"/>
              </w:rPr>
              <w:t>274.341,46</w:t>
            </w:r>
          </w:p>
        </w:tc>
        <w:tc>
          <w:tcPr>
            <w:tcW w:w="1860" w:type="dxa"/>
            <w:tcMar>
              <w:top w:w="0" w:type="dxa"/>
              <w:bottom w:w="0" w:type="dxa"/>
            </w:tcMar>
            <w:vAlign w:val="center"/>
          </w:tcPr>
          <w:p w:rsidR="00EF666D" w:rsidRDefault="001E7EE6">
            <w:pPr>
              <w:keepNext/>
              <w:keepLines/>
              <w:spacing w:after="0" w:line="240" w:lineRule="auto"/>
              <w:jc w:val="right"/>
            </w:pPr>
            <w:r>
              <w:rPr>
                <w:sz w:val="18"/>
              </w:rPr>
              <w:t>336.072,92</w:t>
            </w:r>
          </w:p>
        </w:tc>
        <w:tc>
          <w:tcPr>
            <w:tcW w:w="700" w:type="dxa"/>
            <w:tcMar>
              <w:top w:w="0" w:type="dxa"/>
              <w:bottom w:w="0" w:type="dxa"/>
            </w:tcMar>
            <w:vAlign w:val="center"/>
          </w:tcPr>
          <w:p w:rsidR="00EF666D" w:rsidRDefault="001E7EE6">
            <w:pPr>
              <w:keepNext/>
              <w:keepLines/>
              <w:spacing w:after="0" w:line="240" w:lineRule="auto"/>
              <w:jc w:val="right"/>
            </w:pPr>
            <w:r>
              <w:rPr>
                <w:sz w:val="18"/>
              </w:rPr>
              <w:t>122,5</w:t>
            </w:r>
          </w:p>
        </w:tc>
      </w:tr>
    </w:tbl>
    <w:p w:rsidR="00EF666D" w:rsidRDefault="00EF666D">
      <w:pPr>
        <w:spacing w:after="0"/>
      </w:pPr>
    </w:p>
    <w:p w:rsidR="00EF666D" w:rsidRDefault="001E7EE6">
      <w:pPr>
        <w:jc w:val="both"/>
      </w:pPr>
      <w:r>
        <w:t>Doprinosi na plaću uvećavaju se razmjerno povećanju bruto iznosa plaće.</w:t>
      </w:r>
    </w:p>
    <w:p w:rsidR="00EF666D" w:rsidRDefault="00EF666D"/>
    <w:p w:rsidR="00EF666D" w:rsidRDefault="001E7EE6">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321</w:t>
            </w:r>
          </w:p>
        </w:tc>
        <w:tc>
          <w:tcPr>
            <w:tcW w:w="3180" w:type="dxa"/>
            <w:tcMar>
              <w:top w:w="0" w:type="dxa"/>
              <w:bottom w:w="0" w:type="dxa"/>
            </w:tcMar>
            <w:vAlign w:val="center"/>
          </w:tcPr>
          <w:p w:rsidR="00EF666D" w:rsidRDefault="001E7EE6">
            <w:pPr>
              <w:keepNext/>
              <w:keepLines/>
              <w:spacing w:after="0" w:line="240" w:lineRule="auto"/>
            </w:pPr>
            <w:r>
              <w:rPr>
                <w:sz w:val="18"/>
              </w:rPr>
              <w:t>Naknade troškova zaposlenima (šifre 3211 do 3214)</w:t>
            </w:r>
          </w:p>
        </w:tc>
        <w:tc>
          <w:tcPr>
            <w:tcW w:w="700" w:type="dxa"/>
            <w:tcMar>
              <w:top w:w="0" w:type="dxa"/>
              <w:bottom w:w="0" w:type="dxa"/>
            </w:tcMar>
            <w:vAlign w:val="center"/>
          </w:tcPr>
          <w:p w:rsidR="00EF666D" w:rsidRDefault="001E7EE6">
            <w:pPr>
              <w:keepNext/>
              <w:keepLines/>
              <w:spacing w:after="0" w:line="240" w:lineRule="auto"/>
            </w:pPr>
            <w:r>
              <w:rPr>
                <w:sz w:val="18"/>
              </w:rPr>
              <w:t>321</w:t>
            </w:r>
          </w:p>
        </w:tc>
        <w:tc>
          <w:tcPr>
            <w:tcW w:w="1860" w:type="dxa"/>
            <w:tcMar>
              <w:top w:w="0" w:type="dxa"/>
              <w:bottom w:w="0" w:type="dxa"/>
            </w:tcMar>
            <w:vAlign w:val="center"/>
          </w:tcPr>
          <w:p w:rsidR="00EF666D" w:rsidRDefault="001E7EE6">
            <w:pPr>
              <w:keepNext/>
              <w:keepLines/>
              <w:spacing w:after="0" w:line="240" w:lineRule="auto"/>
              <w:jc w:val="right"/>
            </w:pPr>
            <w:r>
              <w:rPr>
                <w:sz w:val="18"/>
              </w:rPr>
              <w:t>46.291,49</w:t>
            </w:r>
          </w:p>
        </w:tc>
        <w:tc>
          <w:tcPr>
            <w:tcW w:w="1860" w:type="dxa"/>
            <w:tcMar>
              <w:top w:w="0" w:type="dxa"/>
              <w:bottom w:w="0" w:type="dxa"/>
            </w:tcMar>
            <w:vAlign w:val="center"/>
          </w:tcPr>
          <w:p w:rsidR="00EF666D" w:rsidRDefault="001E7EE6">
            <w:pPr>
              <w:keepNext/>
              <w:keepLines/>
              <w:spacing w:after="0" w:line="240" w:lineRule="auto"/>
              <w:jc w:val="right"/>
            </w:pPr>
            <w:r>
              <w:rPr>
                <w:sz w:val="18"/>
              </w:rPr>
              <w:t>54.948,50</w:t>
            </w:r>
          </w:p>
        </w:tc>
        <w:tc>
          <w:tcPr>
            <w:tcW w:w="700" w:type="dxa"/>
            <w:tcMar>
              <w:top w:w="0" w:type="dxa"/>
              <w:bottom w:w="0" w:type="dxa"/>
            </w:tcMar>
            <w:vAlign w:val="center"/>
          </w:tcPr>
          <w:p w:rsidR="00EF666D" w:rsidRDefault="001E7EE6">
            <w:pPr>
              <w:keepNext/>
              <w:keepLines/>
              <w:spacing w:after="0" w:line="240" w:lineRule="auto"/>
              <w:jc w:val="right"/>
            </w:pPr>
            <w:r>
              <w:rPr>
                <w:sz w:val="18"/>
              </w:rPr>
              <w:t>118,7</w:t>
            </w:r>
          </w:p>
        </w:tc>
      </w:tr>
    </w:tbl>
    <w:p w:rsidR="00EF666D" w:rsidRDefault="00EF666D">
      <w:pPr>
        <w:spacing w:after="0"/>
      </w:pPr>
    </w:p>
    <w:p w:rsidR="00EF666D" w:rsidRDefault="001E7EE6">
      <w:pPr>
        <w:jc w:val="both"/>
      </w:pPr>
      <w:r>
        <w:t>Naknade troškova zaposlenima veće su za 18,7 % u odnosu na prethodnu godinu. Navedeno povećanje primarno je uzrokovano porastom troškova naknade za prijevoz na posao i s posla, koja je od ove godine poskupila, što je posljedično dovelo do rasta ukupnih ras</w:t>
      </w:r>
      <w:r>
        <w:t>hoda na ovoj poziciji.</w:t>
      </w:r>
    </w:p>
    <w:p w:rsidR="00EF666D" w:rsidRDefault="00EF666D"/>
    <w:p w:rsidR="00EF666D" w:rsidRDefault="001E7EE6">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322</w:t>
            </w:r>
          </w:p>
        </w:tc>
        <w:tc>
          <w:tcPr>
            <w:tcW w:w="3180" w:type="dxa"/>
            <w:tcMar>
              <w:top w:w="0" w:type="dxa"/>
              <w:bottom w:w="0" w:type="dxa"/>
            </w:tcMar>
            <w:vAlign w:val="center"/>
          </w:tcPr>
          <w:p w:rsidR="00EF666D" w:rsidRDefault="001E7EE6">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EF666D" w:rsidRDefault="001E7EE6">
            <w:pPr>
              <w:keepNext/>
              <w:keepLines/>
              <w:spacing w:after="0" w:line="240" w:lineRule="auto"/>
            </w:pPr>
            <w:r>
              <w:rPr>
                <w:sz w:val="18"/>
              </w:rPr>
              <w:t>322</w:t>
            </w:r>
          </w:p>
        </w:tc>
        <w:tc>
          <w:tcPr>
            <w:tcW w:w="1860" w:type="dxa"/>
            <w:tcMar>
              <w:top w:w="0" w:type="dxa"/>
              <w:bottom w:w="0" w:type="dxa"/>
            </w:tcMar>
            <w:vAlign w:val="center"/>
          </w:tcPr>
          <w:p w:rsidR="00EF666D" w:rsidRDefault="001E7EE6">
            <w:pPr>
              <w:keepNext/>
              <w:keepLines/>
              <w:spacing w:after="0" w:line="240" w:lineRule="auto"/>
              <w:jc w:val="right"/>
            </w:pPr>
            <w:r>
              <w:rPr>
                <w:sz w:val="18"/>
              </w:rPr>
              <w:t>265.145,35</w:t>
            </w:r>
          </w:p>
        </w:tc>
        <w:tc>
          <w:tcPr>
            <w:tcW w:w="1860" w:type="dxa"/>
            <w:tcMar>
              <w:top w:w="0" w:type="dxa"/>
              <w:bottom w:w="0" w:type="dxa"/>
            </w:tcMar>
            <w:vAlign w:val="center"/>
          </w:tcPr>
          <w:p w:rsidR="00EF666D" w:rsidRDefault="001E7EE6">
            <w:pPr>
              <w:keepNext/>
              <w:keepLines/>
              <w:spacing w:after="0" w:line="240" w:lineRule="auto"/>
              <w:jc w:val="right"/>
            </w:pPr>
            <w:r>
              <w:rPr>
                <w:sz w:val="18"/>
              </w:rPr>
              <w:t>293.274,84</w:t>
            </w:r>
          </w:p>
        </w:tc>
        <w:tc>
          <w:tcPr>
            <w:tcW w:w="700" w:type="dxa"/>
            <w:tcMar>
              <w:top w:w="0" w:type="dxa"/>
              <w:bottom w:w="0" w:type="dxa"/>
            </w:tcMar>
            <w:vAlign w:val="center"/>
          </w:tcPr>
          <w:p w:rsidR="00EF666D" w:rsidRDefault="001E7EE6">
            <w:pPr>
              <w:keepNext/>
              <w:keepLines/>
              <w:spacing w:after="0" w:line="240" w:lineRule="auto"/>
              <w:jc w:val="right"/>
            </w:pPr>
            <w:r>
              <w:rPr>
                <w:sz w:val="18"/>
              </w:rPr>
              <w:t>110,6</w:t>
            </w:r>
          </w:p>
        </w:tc>
      </w:tr>
    </w:tbl>
    <w:p w:rsidR="00EF666D" w:rsidRDefault="00EF666D">
      <w:pPr>
        <w:spacing w:after="0"/>
      </w:pPr>
    </w:p>
    <w:p w:rsidR="00EF666D" w:rsidRDefault="001E7EE6">
      <w:pPr>
        <w:jc w:val="both"/>
      </w:pPr>
      <w:r>
        <w:t>Rashodi za materijal i energiju bilježe rast od 10,6% u odnosu na prethodnu godinu. Ovo povećanje rezultat je rasta cijena i troškova namirnica za školsku kuhinju, energenata te uredskog materijala i ostalih materijalnih rashoda neophodnih za redovno poslo</w:t>
      </w:r>
      <w:r>
        <w:t>vanje škole.</w:t>
      </w:r>
    </w:p>
    <w:p w:rsidR="00EF666D" w:rsidRDefault="00EF666D"/>
    <w:p w:rsidR="00EF666D" w:rsidRDefault="001E7EE6">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323</w:t>
            </w:r>
          </w:p>
        </w:tc>
        <w:tc>
          <w:tcPr>
            <w:tcW w:w="3180" w:type="dxa"/>
            <w:tcMar>
              <w:top w:w="0" w:type="dxa"/>
              <w:bottom w:w="0" w:type="dxa"/>
            </w:tcMar>
            <w:vAlign w:val="center"/>
          </w:tcPr>
          <w:p w:rsidR="00EF666D" w:rsidRDefault="001E7EE6">
            <w:pPr>
              <w:keepNext/>
              <w:keepLines/>
              <w:spacing w:after="0" w:line="240" w:lineRule="auto"/>
            </w:pPr>
            <w:r>
              <w:rPr>
                <w:sz w:val="18"/>
              </w:rPr>
              <w:t>Rashodi za usluge (šifre 3231 do 3239)</w:t>
            </w:r>
          </w:p>
        </w:tc>
        <w:tc>
          <w:tcPr>
            <w:tcW w:w="700" w:type="dxa"/>
            <w:tcMar>
              <w:top w:w="0" w:type="dxa"/>
              <w:bottom w:w="0" w:type="dxa"/>
            </w:tcMar>
            <w:vAlign w:val="center"/>
          </w:tcPr>
          <w:p w:rsidR="00EF666D" w:rsidRDefault="001E7EE6">
            <w:pPr>
              <w:keepNext/>
              <w:keepLines/>
              <w:spacing w:after="0" w:line="240" w:lineRule="auto"/>
            </w:pPr>
            <w:r>
              <w:rPr>
                <w:sz w:val="18"/>
              </w:rPr>
              <w:t>323</w:t>
            </w:r>
          </w:p>
        </w:tc>
        <w:tc>
          <w:tcPr>
            <w:tcW w:w="1860" w:type="dxa"/>
            <w:tcMar>
              <w:top w:w="0" w:type="dxa"/>
              <w:bottom w:w="0" w:type="dxa"/>
            </w:tcMar>
            <w:vAlign w:val="center"/>
          </w:tcPr>
          <w:p w:rsidR="00EF666D" w:rsidRDefault="001E7EE6">
            <w:pPr>
              <w:keepNext/>
              <w:keepLines/>
              <w:spacing w:after="0" w:line="240" w:lineRule="auto"/>
              <w:jc w:val="right"/>
            </w:pPr>
            <w:r>
              <w:rPr>
                <w:sz w:val="18"/>
              </w:rPr>
              <w:t>66.391,87</w:t>
            </w:r>
          </w:p>
        </w:tc>
        <w:tc>
          <w:tcPr>
            <w:tcW w:w="1860" w:type="dxa"/>
            <w:tcMar>
              <w:top w:w="0" w:type="dxa"/>
              <w:bottom w:w="0" w:type="dxa"/>
            </w:tcMar>
            <w:vAlign w:val="center"/>
          </w:tcPr>
          <w:p w:rsidR="00EF666D" w:rsidRDefault="001E7EE6">
            <w:pPr>
              <w:keepNext/>
              <w:keepLines/>
              <w:spacing w:after="0" w:line="240" w:lineRule="auto"/>
              <w:jc w:val="right"/>
            </w:pPr>
            <w:r>
              <w:rPr>
                <w:sz w:val="18"/>
              </w:rPr>
              <w:t>86.415,30</w:t>
            </w:r>
          </w:p>
        </w:tc>
        <w:tc>
          <w:tcPr>
            <w:tcW w:w="700" w:type="dxa"/>
            <w:tcMar>
              <w:top w:w="0" w:type="dxa"/>
              <w:bottom w:w="0" w:type="dxa"/>
            </w:tcMar>
            <w:vAlign w:val="center"/>
          </w:tcPr>
          <w:p w:rsidR="00EF666D" w:rsidRDefault="001E7EE6">
            <w:pPr>
              <w:keepNext/>
              <w:keepLines/>
              <w:spacing w:after="0" w:line="240" w:lineRule="auto"/>
              <w:jc w:val="right"/>
            </w:pPr>
            <w:r>
              <w:rPr>
                <w:sz w:val="18"/>
              </w:rPr>
              <w:t>130,2</w:t>
            </w:r>
          </w:p>
        </w:tc>
      </w:tr>
    </w:tbl>
    <w:p w:rsidR="00EF666D" w:rsidRDefault="00EF666D">
      <w:pPr>
        <w:spacing w:after="0"/>
      </w:pPr>
    </w:p>
    <w:p w:rsidR="00EF666D" w:rsidRDefault="001E7EE6">
      <w:pPr>
        <w:jc w:val="both"/>
      </w:pPr>
      <w:r>
        <w:t>Rashodi za usluge porasli su za 30,2 % u odnosu na prethodnu godinu. Povećanje je najviše izraženo kod usluga tekućeg i investicijskog održavanja zgrade i opreme, komunalnih usluga opskrbe vodom te iznošenja i odvoza smeća. Također, značajan porast bilježe</w:t>
      </w:r>
      <w:r>
        <w:t xml:space="preserve"> zdravstvene usluge te računalne i ostale usluge potrebne za redovno funkcioniranje ustanove.</w:t>
      </w:r>
    </w:p>
    <w:p w:rsidR="00EF666D" w:rsidRDefault="00EF666D"/>
    <w:p w:rsidR="00EF666D" w:rsidRDefault="001E7EE6">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r>
              <w:rPr>
                <w:b/>
                <w:sz w:val="18"/>
              </w:rPr>
              <w:t>)</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329</w:t>
            </w:r>
          </w:p>
        </w:tc>
        <w:tc>
          <w:tcPr>
            <w:tcW w:w="3180" w:type="dxa"/>
            <w:tcMar>
              <w:top w:w="0" w:type="dxa"/>
              <w:bottom w:w="0" w:type="dxa"/>
            </w:tcMar>
            <w:vAlign w:val="center"/>
          </w:tcPr>
          <w:p w:rsidR="00EF666D" w:rsidRDefault="001E7EE6">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EF666D" w:rsidRDefault="001E7EE6">
            <w:pPr>
              <w:keepNext/>
              <w:keepLines/>
              <w:spacing w:after="0" w:line="240" w:lineRule="auto"/>
            </w:pPr>
            <w:r>
              <w:rPr>
                <w:sz w:val="18"/>
              </w:rPr>
              <w:t>329</w:t>
            </w:r>
          </w:p>
        </w:tc>
        <w:tc>
          <w:tcPr>
            <w:tcW w:w="1860" w:type="dxa"/>
            <w:tcMar>
              <w:top w:w="0" w:type="dxa"/>
              <w:bottom w:w="0" w:type="dxa"/>
            </w:tcMar>
            <w:vAlign w:val="center"/>
          </w:tcPr>
          <w:p w:rsidR="00EF666D" w:rsidRDefault="001E7EE6">
            <w:pPr>
              <w:keepNext/>
              <w:keepLines/>
              <w:spacing w:after="0" w:line="240" w:lineRule="auto"/>
              <w:jc w:val="right"/>
            </w:pPr>
            <w:r>
              <w:rPr>
                <w:sz w:val="18"/>
              </w:rPr>
              <w:t>7.067,09</w:t>
            </w:r>
          </w:p>
        </w:tc>
        <w:tc>
          <w:tcPr>
            <w:tcW w:w="1860" w:type="dxa"/>
            <w:tcMar>
              <w:top w:w="0" w:type="dxa"/>
              <w:bottom w:w="0" w:type="dxa"/>
            </w:tcMar>
            <w:vAlign w:val="center"/>
          </w:tcPr>
          <w:p w:rsidR="00EF666D" w:rsidRDefault="001E7EE6">
            <w:pPr>
              <w:keepNext/>
              <w:keepLines/>
              <w:spacing w:after="0" w:line="240" w:lineRule="auto"/>
              <w:jc w:val="right"/>
            </w:pPr>
            <w:r>
              <w:rPr>
                <w:sz w:val="18"/>
              </w:rPr>
              <w:t>10.953,29</w:t>
            </w:r>
          </w:p>
        </w:tc>
        <w:tc>
          <w:tcPr>
            <w:tcW w:w="700" w:type="dxa"/>
            <w:tcMar>
              <w:top w:w="0" w:type="dxa"/>
              <w:bottom w:w="0" w:type="dxa"/>
            </w:tcMar>
            <w:vAlign w:val="center"/>
          </w:tcPr>
          <w:p w:rsidR="00EF666D" w:rsidRDefault="001E7EE6">
            <w:pPr>
              <w:keepNext/>
              <w:keepLines/>
              <w:spacing w:after="0" w:line="240" w:lineRule="auto"/>
              <w:jc w:val="right"/>
            </w:pPr>
            <w:r>
              <w:rPr>
                <w:sz w:val="18"/>
              </w:rPr>
              <w:t>155,0</w:t>
            </w:r>
          </w:p>
        </w:tc>
      </w:tr>
    </w:tbl>
    <w:p w:rsidR="00EF666D" w:rsidRDefault="00EF666D">
      <w:pPr>
        <w:spacing w:after="0"/>
      </w:pPr>
    </w:p>
    <w:p w:rsidR="00EF666D" w:rsidRDefault="001E7EE6">
      <w:pPr>
        <w:jc w:val="both"/>
      </w:pPr>
      <w:r>
        <w:t>Ostali nespomenuti rashodi poslovanja bilježe porast u odnosu na prethodnu godinu. Povećanje je prvenstveno uzrokovano većim troškovima naknade zbog nezapošljavanja osoba s invaliditetom, što uključuje i podmirenje razlika nastalih uslijed nedovoljno uplać</w:t>
      </w:r>
      <w:r>
        <w:t>enih iznosa u pojedinim mjesecima prethodnog razdoblja. Također, na rast ove stavke utjecalo je i knjiženje troškova ulaznica za posjete učenika u sklopu planirane izvanučioničke nastave.</w:t>
      </w:r>
    </w:p>
    <w:p w:rsidR="00EF666D" w:rsidRDefault="00EF666D"/>
    <w:p w:rsidR="00EF666D" w:rsidRDefault="001E7EE6">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w:t>
            </w:r>
            <w:r>
              <w:rPr>
                <w:b/>
                <w:sz w:val="18"/>
              </w:rPr>
              <w:t>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343</w:t>
            </w:r>
          </w:p>
        </w:tc>
        <w:tc>
          <w:tcPr>
            <w:tcW w:w="3180" w:type="dxa"/>
            <w:tcMar>
              <w:top w:w="0" w:type="dxa"/>
              <w:bottom w:w="0" w:type="dxa"/>
            </w:tcMar>
            <w:vAlign w:val="center"/>
          </w:tcPr>
          <w:p w:rsidR="00EF666D" w:rsidRDefault="001E7EE6">
            <w:pPr>
              <w:keepNext/>
              <w:keepLines/>
              <w:spacing w:after="0" w:line="240" w:lineRule="auto"/>
            </w:pPr>
            <w:r>
              <w:rPr>
                <w:sz w:val="18"/>
              </w:rPr>
              <w:t>Ostali financijski rashodi (šifre 3431 do 3434)</w:t>
            </w:r>
          </w:p>
        </w:tc>
        <w:tc>
          <w:tcPr>
            <w:tcW w:w="700" w:type="dxa"/>
            <w:tcMar>
              <w:top w:w="0" w:type="dxa"/>
              <w:bottom w:w="0" w:type="dxa"/>
            </w:tcMar>
            <w:vAlign w:val="center"/>
          </w:tcPr>
          <w:p w:rsidR="00EF666D" w:rsidRDefault="001E7EE6">
            <w:pPr>
              <w:keepNext/>
              <w:keepLines/>
              <w:spacing w:after="0" w:line="240" w:lineRule="auto"/>
            </w:pPr>
            <w:r>
              <w:rPr>
                <w:sz w:val="18"/>
              </w:rPr>
              <w:t>343</w:t>
            </w:r>
          </w:p>
        </w:tc>
        <w:tc>
          <w:tcPr>
            <w:tcW w:w="1860" w:type="dxa"/>
            <w:tcMar>
              <w:top w:w="0" w:type="dxa"/>
              <w:bottom w:w="0" w:type="dxa"/>
            </w:tcMar>
            <w:vAlign w:val="center"/>
          </w:tcPr>
          <w:p w:rsidR="00EF666D" w:rsidRDefault="001E7EE6">
            <w:pPr>
              <w:keepNext/>
              <w:keepLines/>
              <w:spacing w:after="0" w:line="240" w:lineRule="auto"/>
              <w:jc w:val="right"/>
            </w:pPr>
            <w:r>
              <w:rPr>
                <w:sz w:val="18"/>
              </w:rPr>
              <w:t>1.311,88</w:t>
            </w:r>
          </w:p>
        </w:tc>
        <w:tc>
          <w:tcPr>
            <w:tcW w:w="1860" w:type="dxa"/>
            <w:tcMar>
              <w:top w:w="0" w:type="dxa"/>
              <w:bottom w:w="0" w:type="dxa"/>
            </w:tcMar>
            <w:vAlign w:val="center"/>
          </w:tcPr>
          <w:p w:rsidR="00EF666D" w:rsidRDefault="001E7EE6">
            <w:pPr>
              <w:keepNext/>
              <w:keepLines/>
              <w:spacing w:after="0" w:line="240" w:lineRule="auto"/>
              <w:jc w:val="right"/>
            </w:pPr>
            <w:r>
              <w:rPr>
                <w:sz w:val="18"/>
              </w:rPr>
              <w:t>1.428,19</w:t>
            </w:r>
          </w:p>
        </w:tc>
        <w:tc>
          <w:tcPr>
            <w:tcW w:w="700" w:type="dxa"/>
            <w:tcMar>
              <w:top w:w="0" w:type="dxa"/>
              <w:bottom w:w="0" w:type="dxa"/>
            </w:tcMar>
            <w:vAlign w:val="center"/>
          </w:tcPr>
          <w:p w:rsidR="00EF666D" w:rsidRDefault="001E7EE6">
            <w:pPr>
              <w:keepNext/>
              <w:keepLines/>
              <w:spacing w:after="0" w:line="240" w:lineRule="auto"/>
              <w:jc w:val="right"/>
            </w:pPr>
            <w:r>
              <w:rPr>
                <w:sz w:val="18"/>
              </w:rPr>
              <w:t>108,9</w:t>
            </w:r>
          </w:p>
        </w:tc>
      </w:tr>
    </w:tbl>
    <w:p w:rsidR="00EF666D" w:rsidRDefault="00EF666D">
      <w:pPr>
        <w:spacing w:after="0"/>
      </w:pPr>
    </w:p>
    <w:p w:rsidR="00EF666D" w:rsidRDefault="001E7EE6">
      <w:pPr>
        <w:jc w:val="both"/>
      </w:pPr>
      <w:r>
        <w:t>Rashodi za usluge platnog prometa viši su za 8,9 % u odnosu na prethodnu godinu. Navedeni porast izravna je posljedica povećanog broja transakcija putem žiro-računa škole, što prati ukupni rast opsega poslovanja, broja ulaznih računa dobavljača te učestali</w:t>
      </w:r>
      <w:r>
        <w:t>jih uplata korisnika usluga, uz uobičajenu korekciju bankovnih naknada za vođenje računa i obradu naloga.</w:t>
      </w:r>
    </w:p>
    <w:p w:rsidR="00EF666D" w:rsidRDefault="00EF666D"/>
    <w:p w:rsidR="00EF666D" w:rsidRDefault="001E7EE6">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w:t>
            </w:r>
            <w:r>
              <w:rPr>
                <w:b/>
                <w:sz w:val="18"/>
              </w:rPr>
              <w:t>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372</w:t>
            </w:r>
          </w:p>
        </w:tc>
        <w:tc>
          <w:tcPr>
            <w:tcW w:w="3180" w:type="dxa"/>
            <w:tcMar>
              <w:top w:w="0" w:type="dxa"/>
              <w:bottom w:w="0" w:type="dxa"/>
            </w:tcMar>
            <w:vAlign w:val="center"/>
          </w:tcPr>
          <w:p w:rsidR="00EF666D" w:rsidRDefault="001E7EE6">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EF666D" w:rsidRDefault="001E7EE6">
            <w:pPr>
              <w:keepNext/>
              <w:keepLines/>
              <w:spacing w:after="0" w:line="240" w:lineRule="auto"/>
            </w:pPr>
            <w:r>
              <w:rPr>
                <w:sz w:val="18"/>
              </w:rPr>
              <w:t>372</w:t>
            </w:r>
          </w:p>
        </w:tc>
        <w:tc>
          <w:tcPr>
            <w:tcW w:w="1860" w:type="dxa"/>
            <w:tcMar>
              <w:top w:w="0" w:type="dxa"/>
              <w:bottom w:w="0" w:type="dxa"/>
            </w:tcMar>
            <w:vAlign w:val="center"/>
          </w:tcPr>
          <w:p w:rsidR="00EF666D" w:rsidRDefault="001E7EE6">
            <w:pPr>
              <w:keepNext/>
              <w:keepLines/>
              <w:spacing w:after="0" w:line="240" w:lineRule="auto"/>
              <w:jc w:val="right"/>
            </w:pPr>
            <w:r>
              <w:rPr>
                <w:sz w:val="18"/>
              </w:rPr>
              <w:t>30.570,82</w:t>
            </w:r>
          </w:p>
        </w:tc>
        <w:tc>
          <w:tcPr>
            <w:tcW w:w="1860" w:type="dxa"/>
            <w:tcMar>
              <w:top w:w="0" w:type="dxa"/>
              <w:bottom w:w="0" w:type="dxa"/>
            </w:tcMar>
            <w:vAlign w:val="center"/>
          </w:tcPr>
          <w:p w:rsidR="00EF666D" w:rsidRDefault="001E7EE6">
            <w:pPr>
              <w:keepNext/>
              <w:keepLines/>
              <w:spacing w:after="0" w:line="240" w:lineRule="auto"/>
              <w:jc w:val="right"/>
            </w:pPr>
            <w:r>
              <w:rPr>
                <w:sz w:val="18"/>
              </w:rPr>
              <w:t>32.829,86</w:t>
            </w:r>
          </w:p>
        </w:tc>
        <w:tc>
          <w:tcPr>
            <w:tcW w:w="700" w:type="dxa"/>
            <w:tcMar>
              <w:top w:w="0" w:type="dxa"/>
              <w:bottom w:w="0" w:type="dxa"/>
            </w:tcMar>
            <w:vAlign w:val="center"/>
          </w:tcPr>
          <w:p w:rsidR="00EF666D" w:rsidRDefault="001E7EE6">
            <w:pPr>
              <w:keepNext/>
              <w:keepLines/>
              <w:spacing w:after="0" w:line="240" w:lineRule="auto"/>
              <w:jc w:val="right"/>
            </w:pPr>
            <w:r>
              <w:rPr>
                <w:sz w:val="18"/>
              </w:rPr>
              <w:t>107,4</w:t>
            </w:r>
          </w:p>
        </w:tc>
      </w:tr>
    </w:tbl>
    <w:p w:rsidR="00EF666D" w:rsidRDefault="00EF666D">
      <w:pPr>
        <w:spacing w:after="0"/>
      </w:pPr>
    </w:p>
    <w:p w:rsidR="00EF666D" w:rsidRDefault="001E7EE6">
      <w:pPr>
        <w:jc w:val="both"/>
      </w:pPr>
      <w:r>
        <w:t>Naknade građanima i kućanstvima bilježe rast u odnosu na prethodno razdoblje. Navedeno povećanje rezultat je veće nabave radnih udžbenika, odnosno dokupa dodatnih količina potrebnih za tekuću školsku godinu.</w:t>
      </w:r>
    </w:p>
    <w:p w:rsidR="00EF666D" w:rsidRDefault="001E7EE6">
      <w:r>
        <w:t> </w:t>
      </w:r>
    </w:p>
    <w:p w:rsidR="00EF666D" w:rsidRDefault="00EF666D"/>
    <w:p w:rsidR="00EF666D" w:rsidRDefault="001E7EE6">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381</w:t>
            </w:r>
          </w:p>
        </w:tc>
        <w:tc>
          <w:tcPr>
            <w:tcW w:w="3180" w:type="dxa"/>
            <w:tcMar>
              <w:top w:w="0" w:type="dxa"/>
              <w:bottom w:w="0" w:type="dxa"/>
            </w:tcMar>
            <w:vAlign w:val="center"/>
          </w:tcPr>
          <w:p w:rsidR="00EF666D" w:rsidRDefault="001E7EE6">
            <w:pPr>
              <w:keepNext/>
              <w:keepLines/>
              <w:spacing w:after="0" w:line="240" w:lineRule="auto"/>
            </w:pPr>
            <w:r>
              <w:rPr>
                <w:sz w:val="18"/>
              </w:rPr>
              <w:t>Tekuće donacije (šifre 3811 do 3813)</w:t>
            </w:r>
          </w:p>
        </w:tc>
        <w:tc>
          <w:tcPr>
            <w:tcW w:w="700" w:type="dxa"/>
            <w:tcMar>
              <w:top w:w="0" w:type="dxa"/>
              <w:bottom w:w="0" w:type="dxa"/>
            </w:tcMar>
            <w:vAlign w:val="center"/>
          </w:tcPr>
          <w:p w:rsidR="00EF666D" w:rsidRDefault="001E7EE6">
            <w:pPr>
              <w:keepNext/>
              <w:keepLines/>
              <w:spacing w:after="0" w:line="240" w:lineRule="auto"/>
            </w:pPr>
            <w:r>
              <w:rPr>
                <w:sz w:val="18"/>
              </w:rPr>
              <w:t>381</w:t>
            </w:r>
          </w:p>
        </w:tc>
        <w:tc>
          <w:tcPr>
            <w:tcW w:w="1860" w:type="dxa"/>
            <w:tcMar>
              <w:top w:w="0" w:type="dxa"/>
              <w:bottom w:w="0" w:type="dxa"/>
            </w:tcMar>
            <w:vAlign w:val="center"/>
          </w:tcPr>
          <w:p w:rsidR="00EF666D" w:rsidRDefault="001E7EE6">
            <w:pPr>
              <w:keepNext/>
              <w:keepLines/>
              <w:spacing w:after="0" w:line="240" w:lineRule="auto"/>
              <w:jc w:val="right"/>
            </w:pPr>
            <w:r>
              <w:rPr>
                <w:sz w:val="18"/>
              </w:rPr>
              <w:t>1.218,54</w:t>
            </w:r>
          </w:p>
        </w:tc>
        <w:tc>
          <w:tcPr>
            <w:tcW w:w="1860" w:type="dxa"/>
            <w:tcMar>
              <w:top w:w="0" w:type="dxa"/>
              <w:bottom w:w="0" w:type="dxa"/>
            </w:tcMar>
            <w:vAlign w:val="center"/>
          </w:tcPr>
          <w:p w:rsidR="00EF666D" w:rsidRDefault="001E7EE6">
            <w:pPr>
              <w:keepNext/>
              <w:keepLines/>
              <w:spacing w:after="0" w:line="240" w:lineRule="auto"/>
              <w:jc w:val="right"/>
            </w:pPr>
            <w:r>
              <w:rPr>
                <w:sz w:val="18"/>
              </w:rPr>
              <w:t>969,54</w:t>
            </w:r>
          </w:p>
        </w:tc>
        <w:tc>
          <w:tcPr>
            <w:tcW w:w="700" w:type="dxa"/>
            <w:tcMar>
              <w:top w:w="0" w:type="dxa"/>
              <w:bottom w:w="0" w:type="dxa"/>
            </w:tcMar>
            <w:vAlign w:val="center"/>
          </w:tcPr>
          <w:p w:rsidR="00EF666D" w:rsidRDefault="001E7EE6">
            <w:pPr>
              <w:keepNext/>
              <w:keepLines/>
              <w:spacing w:after="0" w:line="240" w:lineRule="auto"/>
              <w:jc w:val="right"/>
            </w:pPr>
            <w:r>
              <w:rPr>
                <w:sz w:val="18"/>
              </w:rPr>
              <w:t>79,6</w:t>
            </w:r>
          </w:p>
        </w:tc>
      </w:tr>
    </w:tbl>
    <w:p w:rsidR="00EF666D" w:rsidRDefault="00EF666D">
      <w:pPr>
        <w:spacing w:after="0"/>
      </w:pPr>
    </w:p>
    <w:p w:rsidR="00EF666D" w:rsidRDefault="001E7EE6">
      <w:pPr>
        <w:jc w:val="both"/>
      </w:pPr>
      <w:r>
        <w:t>Tekuće donacije u naravi odnose se na higijenske menstrualne potrepštine za učenice, za što je sredstva doznačilo Ministarstvo znanosti, obrazovanja i mladih. Navedena stavka bilježi pad te je ostvarena u iznosu koji je za 20,4 % manji u odnosu na prethodn</w:t>
      </w:r>
      <w:r>
        <w:t>u godinu.</w:t>
      </w:r>
    </w:p>
    <w:p w:rsidR="00EF666D" w:rsidRDefault="00EF666D"/>
    <w:p w:rsidR="00EF666D" w:rsidRDefault="001E7EE6">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96</w:t>
            </w:r>
          </w:p>
        </w:tc>
        <w:tc>
          <w:tcPr>
            <w:tcW w:w="3180" w:type="dxa"/>
            <w:tcMar>
              <w:top w:w="0" w:type="dxa"/>
              <w:bottom w:w="0" w:type="dxa"/>
            </w:tcMar>
            <w:vAlign w:val="center"/>
          </w:tcPr>
          <w:p w:rsidR="00EF666D" w:rsidRDefault="001E7EE6">
            <w:pPr>
              <w:keepNext/>
              <w:keepLines/>
              <w:spacing w:after="0" w:line="240" w:lineRule="auto"/>
            </w:pPr>
            <w:r>
              <w:rPr>
                <w:sz w:val="18"/>
              </w:rPr>
              <w:t>Obračunati prihodi poslovanja - nenaplaćeni</w:t>
            </w:r>
          </w:p>
        </w:tc>
        <w:tc>
          <w:tcPr>
            <w:tcW w:w="700" w:type="dxa"/>
            <w:tcMar>
              <w:top w:w="0" w:type="dxa"/>
              <w:bottom w:w="0" w:type="dxa"/>
            </w:tcMar>
            <w:vAlign w:val="center"/>
          </w:tcPr>
          <w:p w:rsidR="00EF666D" w:rsidRDefault="001E7EE6">
            <w:pPr>
              <w:keepNext/>
              <w:keepLines/>
              <w:spacing w:after="0" w:line="240" w:lineRule="auto"/>
            </w:pPr>
            <w:r>
              <w:rPr>
                <w:sz w:val="18"/>
              </w:rPr>
              <w:t>96</w:t>
            </w:r>
          </w:p>
        </w:tc>
        <w:tc>
          <w:tcPr>
            <w:tcW w:w="1860" w:type="dxa"/>
            <w:tcMar>
              <w:top w:w="0" w:type="dxa"/>
              <w:bottom w:w="0" w:type="dxa"/>
            </w:tcMar>
            <w:vAlign w:val="center"/>
          </w:tcPr>
          <w:p w:rsidR="00EF666D" w:rsidRDefault="001E7EE6">
            <w:pPr>
              <w:keepNext/>
              <w:keepLines/>
              <w:spacing w:after="0" w:line="240" w:lineRule="auto"/>
              <w:jc w:val="right"/>
            </w:pPr>
            <w:r>
              <w:rPr>
                <w:sz w:val="18"/>
              </w:rPr>
              <w:t>19.692,80</w:t>
            </w:r>
          </w:p>
        </w:tc>
        <w:tc>
          <w:tcPr>
            <w:tcW w:w="1860" w:type="dxa"/>
            <w:tcMar>
              <w:top w:w="0" w:type="dxa"/>
              <w:bottom w:w="0" w:type="dxa"/>
            </w:tcMar>
            <w:vAlign w:val="center"/>
          </w:tcPr>
          <w:p w:rsidR="00EF666D" w:rsidRDefault="001E7EE6">
            <w:pPr>
              <w:keepNext/>
              <w:keepLines/>
              <w:spacing w:after="0" w:line="240" w:lineRule="auto"/>
              <w:jc w:val="right"/>
            </w:pPr>
            <w:r>
              <w:rPr>
                <w:sz w:val="18"/>
              </w:rPr>
              <w:t>211.840,37</w:t>
            </w:r>
          </w:p>
        </w:tc>
        <w:tc>
          <w:tcPr>
            <w:tcW w:w="700" w:type="dxa"/>
            <w:tcMar>
              <w:top w:w="0" w:type="dxa"/>
              <w:bottom w:w="0" w:type="dxa"/>
            </w:tcMar>
            <w:vAlign w:val="center"/>
          </w:tcPr>
          <w:p w:rsidR="00EF666D" w:rsidRDefault="001E7EE6">
            <w:pPr>
              <w:keepNext/>
              <w:keepLines/>
              <w:spacing w:after="0" w:line="240" w:lineRule="auto"/>
              <w:jc w:val="right"/>
            </w:pPr>
            <w:r>
              <w:rPr>
                <w:sz w:val="18"/>
              </w:rPr>
              <w:t>1075,7</w:t>
            </w:r>
          </w:p>
        </w:tc>
      </w:tr>
    </w:tbl>
    <w:p w:rsidR="00EF666D" w:rsidRDefault="00EF666D">
      <w:pPr>
        <w:spacing w:after="0"/>
      </w:pPr>
    </w:p>
    <w:p w:rsidR="00EF666D" w:rsidRDefault="001E7EE6">
      <w:pPr>
        <w:jc w:val="both"/>
      </w:pPr>
      <w:r>
        <w:lastRenderedPageBreak/>
        <w:t>Na stavci obračunatih, a nenaplaćenih prihoda poslovanja evidentirana su potraživanja od roditelja za produženi boravak. Također, od ove proračunske godine iskazana su i potraživanja od Ministarstva znanosti, obrazovanja i mladih te ostalih subjekata za tr</w:t>
      </w:r>
      <w:r>
        <w:t>oškove koji su nastali zaključno s 31.12.2025. godine. Slijedom navedenog, na dan 31.12. izvršeno je evidentiranje na skupini 16 Potraživanja za prihode poslovanja, dok se doznaka sredstava i zatvaranje istih očekuje tijekom 2026. godine.</w:t>
      </w:r>
    </w:p>
    <w:p w:rsidR="00EF666D" w:rsidRDefault="00EF666D"/>
    <w:p w:rsidR="00EF666D" w:rsidRDefault="001E7EE6">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Rač</w:t>
            </w:r>
            <w:r>
              <w:rPr>
                <w:b/>
                <w:sz w:val="18"/>
              </w:rPr>
              <w:t xml:space="preserve">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422</w:t>
            </w:r>
          </w:p>
        </w:tc>
        <w:tc>
          <w:tcPr>
            <w:tcW w:w="3180" w:type="dxa"/>
            <w:tcMar>
              <w:top w:w="0" w:type="dxa"/>
              <w:bottom w:w="0" w:type="dxa"/>
            </w:tcMar>
            <w:vAlign w:val="center"/>
          </w:tcPr>
          <w:p w:rsidR="00EF666D" w:rsidRDefault="001E7EE6">
            <w:pPr>
              <w:keepNext/>
              <w:keepLines/>
              <w:spacing w:after="0" w:line="240" w:lineRule="auto"/>
            </w:pPr>
            <w:r>
              <w:rPr>
                <w:sz w:val="18"/>
              </w:rPr>
              <w:t>Postrojenja i oprema (šifre 4221 do 4228)</w:t>
            </w:r>
          </w:p>
        </w:tc>
        <w:tc>
          <w:tcPr>
            <w:tcW w:w="700" w:type="dxa"/>
            <w:tcMar>
              <w:top w:w="0" w:type="dxa"/>
              <w:bottom w:w="0" w:type="dxa"/>
            </w:tcMar>
            <w:vAlign w:val="center"/>
          </w:tcPr>
          <w:p w:rsidR="00EF666D" w:rsidRDefault="001E7EE6">
            <w:pPr>
              <w:keepNext/>
              <w:keepLines/>
              <w:spacing w:after="0" w:line="240" w:lineRule="auto"/>
            </w:pPr>
            <w:r>
              <w:rPr>
                <w:sz w:val="18"/>
              </w:rPr>
              <w:t>422</w:t>
            </w:r>
          </w:p>
        </w:tc>
        <w:tc>
          <w:tcPr>
            <w:tcW w:w="1860" w:type="dxa"/>
            <w:tcMar>
              <w:top w:w="0" w:type="dxa"/>
              <w:bottom w:w="0" w:type="dxa"/>
            </w:tcMar>
            <w:vAlign w:val="center"/>
          </w:tcPr>
          <w:p w:rsidR="00EF666D" w:rsidRDefault="001E7EE6">
            <w:pPr>
              <w:keepNext/>
              <w:keepLines/>
              <w:spacing w:after="0" w:line="240" w:lineRule="auto"/>
              <w:jc w:val="right"/>
            </w:pPr>
            <w:r>
              <w:rPr>
                <w:sz w:val="18"/>
              </w:rPr>
              <w:t>2.843,75</w:t>
            </w:r>
          </w:p>
        </w:tc>
        <w:tc>
          <w:tcPr>
            <w:tcW w:w="1860" w:type="dxa"/>
            <w:tcMar>
              <w:top w:w="0" w:type="dxa"/>
              <w:bottom w:w="0" w:type="dxa"/>
            </w:tcMar>
            <w:vAlign w:val="center"/>
          </w:tcPr>
          <w:p w:rsidR="00EF666D" w:rsidRDefault="001E7EE6">
            <w:pPr>
              <w:keepNext/>
              <w:keepLines/>
              <w:spacing w:after="0" w:line="240" w:lineRule="auto"/>
              <w:jc w:val="right"/>
            </w:pPr>
            <w:r>
              <w:rPr>
                <w:sz w:val="18"/>
              </w:rPr>
              <w:t>6.830,07</w:t>
            </w:r>
          </w:p>
        </w:tc>
        <w:tc>
          <w:tcPr>
            <w:tcW w:w="700" w:type="dxa"/>
            <w:tcMar>
              <w:top w:w="0" w:type="dxa"/>
              <w:bottom w:w="0" w:type="dxa"/>
            </w:tcMar>
            <w:vAlign w:val="center"/>
          </w:tcPr>
          <w:p w:rsidR="00EF666D" w:rsidRDefault="001E7EE6">
            <w:pPr>
              <w:keepNext/>
              <w:keepLines/>
              <w:spacing w:after="0" w:line="240" w:lineRule="auto"/>
              <w:jc w:val="right"/>
            </w:pPr>
            <w:r>
              <w:rPr>
                <w:sz w:val="18"/>
              </w:rPr>
              <w:t>240,2</w:t>
            </w:r>
          </w:p>
        </w:tc>
      </w:tr>
    </w:tbl>
    <w:p w:rsidR="00EF666D" w:rsidRDefault="00EF666D">
      <w:pPr>
        <w:spacing w:after="0"/>
      </w:pPr>
    </w:p>
    <w:p w:rsidR="00EF666D" w:rsidRDefault="001E7EE6">
      <w:pPr>
        <w:jc w:val="both"/>
      </w:pPr>
      <w:r>
        <w:t>Rashodi za nabavu opreme veći su za 140,2 % u odnosu na prethodnu godinu. Navedeni porast prvenstveno je rezultat investicije u sustav video nadzora u Područnoj školi Rukavac, uz nabavu novog računala, dijela uredskog namještaja te sitnije ostale opreme po</w:t>
      </w:r>
      <w:r>
        <w:t>trebne za rad.</w:t>
      </w:r>
    </w:p>
    <w:p w:rsidR="00EF666D" w:rsidRDefault="00EF666D"/>
    <w:p w:rsidR="00EF666D" w:rsidRDefault="001E7EE6">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424</w:t>
            </w:r>
          </w:p>
        </w:tc>
        <w:tc>
          <w:tcPr>
            <w:tcW w:w="3180" w:type="dxa"/>
            <w:tcMar>
              <w:top w:w="0" w:type="dxa"/>
              <w:bottom w:w="0" w:type="dxa"/>
            </w:tcMar>
            <w:vAlign w:val="center"/>
          </w:tcPr>
          <w:p w:rsidR="00EF666D" w:rsidRDefault="001E7EE6">
            <w:pPr>
              <w:keepNext/>
              <w:keepLines/>
              <w:spacing w:after="0" w:line="240" w:lineRule="auto"/>
            </w:pPr>
            <w:r>
              <w:rPr>
                <w:sz w:val="18"/>
              </w:rPr>
              <w:t xml:space="preserve">Knjige, umjetnička djela i ostale izložbene vrijednosti (šifre 4241 do </w:t>
            </w:r>
            <w:r>
              <w:rPr>
                <w:sz w:val="18"/>
              </w:rPr>
              <w:t>4244)</w:t>
            </w:r>
          </w:p>
        </w:tc>
        <w:tc>
          <w:tcPr>
            <w:tcW w:w="700" w:type="dxa"/>
            <w:tcMar>
              <w:top w:w="0" w:type="dxa"/>
              <w:bottom w:w="0" w:type="dxa"/>
            </w:tcMar>
            <w:vAlign w:val="center"/>
          </w:tcPr>
          <w:p w:rsidR="00EF666D" w:rsidRDefault="001E7EE6">
            <w:pPr>
              <w:keepNext/>
              <w:keepLines/>
              <w:spacing w:after="0" w:line="240" w:lineRule="auto"/>
            </w:pPr>
            <w:r>
              <w:rPr>
                <w:sz w:val="18"/>
              </w:rPr>
              <w:t>424</w:t>
            </w:r>
          </w:p>
        </w:tc>
        <w:tc>
          <w:tcPr>
            <w:tcW w:w="1860" w:type="dxa"/>
            <w:tcMar>
              <w:top w:w="0" w:type="dxa"/>
              <w:bottom w:w="0" w:type="dxa"/>
            </w:tcMar>
            <w:vAlign w:val="center"/>
          </w:tcPr>
          <w:p w:rsidR="00EF666D" w:rsidRDefault="001E7EE6">
            <w:pPr>
              <w:keepNext/>
              <w:keepLines/>
              <w:spacing w:after="0" w:line="240" w:lineRule="auto"/>
              <w:jc w:val="right"/>
            </w:pPr>
            <w:r>
              <w:rPr>
                <w:sz w:val="18"/>
              </w:rPr>
              <w:t>5.918,25</w:t>
            </w:r>
          </w:p>
        </w:tc>
        <w:tc>
          <w:tcPr>
            <w:tcW w:w="1860" w:type="dxa"/>
            <w:tcMar>
              <w:top w:w="0" w:type="dxa"/>
              <w:bottom w:w="0" w:type="dxa"/>
            </w:tcMar>
            <w:vAlign w:val="center"/>
          </w:tcPr>
          <w:p w:rsidR="00EF666D" w:rsidRDefault="001E7EE6">
            <w:pPr>
              <w:keepNext/>
              <w:keepLines/>
              <w:spacing w:after="0" w:line="240" w:lineRule="auto"/>
              <w:jc w:val="right"/>
            </w:pPr>
            <w:r>
              <w:rPr>
                <w:sz w:val="18"/>
              </w:rPr>
              <w:t>5.898,80</w:t>
            </w:r>
          </w:p>
        </w:tc>
        <w:tc>
          <w:tcPr>
            <w:tcW w:w="700" w:type="dxa"/>
            <w:tcMar>
              <w:top w:w="0" w:type="dxa"/>
              <w:bottom w:w="0" w:type="dxa"/>
            </w:tcMar>
            <w:vAlign w:val="center"/>
          </w:tcPr>
          <w:p w:rsidR="00EF666D" w:rsidRDefault="001E7EE6">
            <w:pPr>
              <w:keepNext/>
              <w:keepLines/>
              <w:spacing w:after="0" w:line="240" w:lineRule="auto"/>
              <w:jc w:val="right"/>
            </w:pPr>
            <w:r>
              <w:rPr>
                <w:sz w:val="18"/>
              </w:rPr>
              <w:t>99,7</w:t>
            </w:r>
          </w:p>
        </w:tc>
      </w:tr>
    </w:tbl>
    <w:p w:rsidR="00EF666D" w:rsidRDefault="00EF666D">
      <w:pPr>
        <w:spacing w:after="0"/>
      </w:pPr>
    </w:p>
    <w:p w:rsidR="00EF666D" w:rsidRDefault="001E7EE6">
      <w:pPr>
        <w:jc w:val="both"/>
      </w:pPr>
      <w:r>
        <w:t>Rashodi za školsku lektiru i udžbenike izvršeni su na razini prethodne godine, što ukazuje na kontinuitet u nabavi i obnavljanju knjižnog fonda.</w:t>
      </w:r>
    </w:p>
    <w:p w:rsidR="00EF666D" w:rsidRDefault="00EF666D"/>
    <w:p w:rsidR="00EF666D" w:rsidRDefault="001E7EE6">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EF666D" w:rsidRDefault="001E7EE6">
            <w:pPr>
              <w:keepNext/>
              <w:keepLines/>
              <w:spacing w:after="0" w:line="240" w:lineRule="auto"/>
            </w:pPr>
            <w:r>
              <w:rPr>
                <w:sz w:val="18"/>
              </w:rPr>
              <w:t>Y006</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1860" w:type="dxa"/>
            <w:tcMar>
              <w:top w:w="0" w:type="dxa"/>
              <w:bottom w:w="0" w:type="dxa"/>
            </w:tcMar>
            <w:vAlign w:val="center"/>
          </w:tcPr>
          <w:p w:rsidR="00EF666D" w:rsidRDefault="001E7EE6">
            <w:pPr>
              <w:keepNext/>
              <w:keepLines/>
              <w:spacing w:after="0" w:line="240" w:lineRule="auto"/>
              <w:jc w:val="right"/>
            </w:pPr>
            <w:r>
              <w:rPr>
                <w:sz w:val="18"/>
              </w:rPr>
              <w:t>190.636,12</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U izvještajnom razdoblju ostvaren je manjak prihoda u iznosu od 200.617,47 eura. U tekuću godinu prenesen je višak prihoda iz prethodnog razdoblja u iznosu od 9.981,35 eura. Uzimajući u obzir prenesena sredstva, ukupni manjak prihoda za pokriće u idućem ra</w:t>
      </w:r>
      <w:r>
        <w:t>zdoblju iznosi 190.636,12 eura.</w:t>
      </w:r>
    </w:p>
    <w:p w:rsidR="00EF666D" w:rsidRDefault="00EF666D"/>
    <w:p w:rsidR="00EF666D" w:rsidRDefault="001E7EE6">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19</w:t>
            </w:r>
          </w:p>
        </w:tc>
        <w:tc>
          <w:tcPr>
            <w:tcW w:w="3180" w:type="dxa"/>
            <w:tcMar>
              <w:top w:w="0" w:type="dxa"/>
              <w:bottom w:w="0" w:type="dxa"/>
            </w:tcMar>
            <w:vAlign w:val="center"/>
          </w:tcPr>
          <w:p w:rsidR="00EF666D" w:rsidRDefault="001E7EE6">
            <w:pPr>
              <w:keepNext/>
              <w:keepLines/>
              <w:spacing w:after="0" w:line="240" w:lineRule="auto"/>
            </w:pPr>
            <w:r>
              <w:rPr>
                <w:sz w:val="18"/>
              </w:rPr>
              <w:t xml:space="preserve">Rashodi budućih razdoblja i nedospjela naplata prihoda </w:t>
            </w:r>
            <w:r>
              <w:rPr>
                <w:sz w:val="18"/>
              </w:rPr>
              <w:t>(aktivna vremenska razgraničenja)</w:t>
            </w:r>
          </w:p>
        </w:tc>
        <w:tc>
          <w:tcPr>
            <w:tcW w:w="700" w:type="dxa"/>
            <w:tcMar>
              <w:top w:w="0" w:type="dxa"/>
              <w:bottom w:w="0" w:type="dxa"/>
            </w:tcMar>
            <w:vAlign w:val="center"/>
          </w:tcPr>
          <w:p w:rsidR="00EF666D" w:rsidRDefault="001E7EE6">
            <w:pPr>
              <w:keepNext/>
              <w:keepLines/>
              <w:spacing w:after="0" w:line="240" w:lineRule="auto"/>
            </w:pPr>
            <w:r>
              <w:rPr>
                <w:sz w:val="18"/>
              </w:rPr>
              <w:t>19</w:t>
            </w:r>
          </w:p>
        </w:tc>
        <w:tc>
          <w:tcPr>
            <w:tcW w:w="1860" w:type="dxa"/>
            <w:tcMar>
              <w:top w:w="0" w:type="dxa"/>
              <w:bottom w:w="0" w:type="dxa"/>
            </w:tcMar>
            <w:vAlign w:val="center"/>
          </w:tcPr>
          <w:p w:rsidR="00EF666D" w:rsidRDefault="001E7EE6">
            <w:pPr>
              <w:keepNext/>
              <w:keepLines/>
              <w:spacing w:after="0" w:line="240" w:lineRule="auto"/>
              <w:jc w:val="right"/>
            </w:pPr>
            <w:r>
              <w:rPr>
                <w:sz w:val="18"/>
              </w:rPr>
              <w:t>186.734,26</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700" w:type="dxa"/>
            <w:tcMar>
              <w:top w:w="0" w:type="dxa"/>
              <w:bottom w:w="0" w:type="dxa"/>
            </w:tcMar>
            <w:vAlign w:val="center"/>
          </w:tcPr>
          <w:p w:rsidR="00EF666D" w:rsidRDefault="001E7EE6">
            <w:pPr>
              <w:keepNext/>
              <w:keepLines/>
              <w:spacing w:after="0" w:line="240" w:lineRule="auto"/>
              <w:jc w:val="right"/>
            </w:pPr>
            <w:r>
              <w:rPr>
                <w:sz w:val="18"/>
              </w:rPr>
              <w:t>0</w:t>
            </w:r>
          </w:p>
        </w:tc>
      </w:tr>
    </w:tbl>
    <w:p w:rsidR="00EF666D" w:rsidRDefault="00EF666D">
      <w:pPr>
        <w:spacing w:after="0"/>
      </w:pPr>
    </w:p>
    <w:p w:rsidR="00EF666D" w:rsidRDefault="001E7EE6">
      <w:pPr>
        <w:jc w:val="both"/>
      </w:pPr>
      <w:r>
        <w:t>S obzirom na izmjene u računovodstvenom planu propisane novim Pravilnikom o proračunskom računovodstvu, skupina 19 (Odgođeno plaćanje rashoda i prihodi budućih razdoblja) prestala je biti aktivna u 2025. godini. Zbog navedenog usklađenja s novim propisima,</w:t>
      </w:r>
      <w:r>
        <w:t xml:space="preserve"> podaci na ovoj poziciji više se ne iskazuju.</w:t>
      </w:r>
    </w:p>
    <w:p w:rsidR="00EF666D" w:rsidRDefault="00EF666D"/>
    <w:p w:rsidR="00EF666D" w:rsidRDefault="001E7EE6">
      <w:pPr>
        <w:keepNext/>
        <w:spacing w:line="240" w:lineRule="auto"/>
        <w:jc w:val="center"/>
      </w:pPr>
      <w:r>
        <w:rPr>
          <w:b/>
          <w:sz w:val="28"/>
        </w:rPr>
        <w:t>Bilanca</w:t>
      </w:r>
    </w:p>
    <w:p w:rsidR="00EF666D" w:rsidRDefault="001E7EE6">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022 i 02922</w:t>
            </w:r>
          </w:p>
        </w:tc>
        <w:tc>
          <w:tcPr>
            <w:tcW w:w="3180" w:type="dxa"/>
            <w:tcMar>
              <w:top w:w="0" w:type="dxa"/>
              <w:bottom w:w="0" w:type="dxa"/>
            </w:tcMar>
            <w:vAlign w:val="center"/>
          </w:tcPr>
          <w:p w:rsidR="00EF666D" w:rsidRDefault="001E7EE6">
            <w:pPr>
              <w:keepNext/>
              <w:keepLines/>
              <w:spacing w:after="0" w:line="240" w:lineRule="auto"/>
            </w:pPr>
            <w:r>
              <w:rPr>
                <w:sz w:val="18"/>
              </w:rPr>
              <w:t>Postrojenja i oprema (šifre 0221 do 0228 - 02922)</w:t>
            </w:r>
          </w:p>
        </w:tc>
        <w:tc>
          <w:tcPr>
            <w:tcW w:w="700" w:type="dxa"/>
            <w:tcMar>
              <w:top w:w="0" w:type="dxa"/>
              <w:bottom w:w="0" w:type="dxa"/>
            </w:tcMar>
            <w:vAlign w:val="center"/>
          </w:tcPr>
          <w:p w:rsidR="00EF666D" w:rsidRDefault="001E7EE6">
            <w:pPr>
              <w:keepNext/>
              <w:keepLines/>
              <w:spacing w:after="0" w:line="240" w:lineRule="auto"/>
            </w:pPr>
            <w:r>
              <w:rPr>
                <w:sz w:val="18"/>
              </w:rPr>
              <w:t>022 i 02922</w:t>
            </w:r>
          </w:p>
        </w:tc>
        <w:tc>
          <w:tcPr>
            <w:tcW w:w="1860" w:type="dxa"/>
            <w:tcMar>
              <w:top w:w="0" w:type="dxa"/>
              <w:bottom w:w="0" w:type="dxa"/>
            </w:tcMar>
            <w:vAlign w:val="center"/>
          </w:tcPr>
          <w:p w:rsidR="00EF666D" w:rsidRDefault="001E7EE6">
            <w:pPr>
              <w:keepNext/>
              <w:keepLines/>
              <w:spacing w:after="0" w:line="240" w:lineRule="auto"/>
              <w:jc w:val="right"/>
            </w:pPr>
            <w:r>
              <w:rPr>
                <w:sz w:val="18"/>
              </w:rPr>
              <w:t>117.903,13</w:t>
            </w:r>
          </w:p>
        </w:tc>
        <w:tc>
          <w:tcPr>
            <w:tcW w:w="1860" w:type="dxa"/>
            <w:tcMar>
              <w:top w:w="0" w:type="dxa"/>
              <w:bottom w:w="0" w:type="dxa"/>
            </w:tcMar>
            <w:vAlign w:val="center"/>
          </w:tcPr>
          <w:p w:rsidR="00EF666D" w:rsidRDefault="001E7EE6">
            <w:pPr>
              <w:keepNext/>
              <w:keepLines/>
              <w:spacing w:after="0" w:line="240" w:lineRule="auto"/>
              <w:jc w:val="right"/>
            </w:pPr>
            <w:r>
              <w:rPr>
                <w:sz w:val="18"/>
              </w:rPr>
              <w:t>92.755,03</w:t>
            </w:r>
          </w:p>
        </w:tc>
        <w:tc>
          <w:tcPr>
            <w:tcW w:w="700" w:type="dxa"/>
            <w:tcMar>
              <w:top w:w="0" w:type="dxa"/>
              <w:bottom w:w="0" w:type="dxa"/>
            </w:tcMar>
            <w:vAlign w:val="center"/>
          </w:tcPr>
          <w:p w:rsidR="00EF666D" w:rsidRDefault="001E7EE6">
            <w:pPr>
              <w:keepNext/>
              <w:keepLines/>
              <w:spacing w:after="0" w:line="240" w:lineRule="auto"/>
              <w:jc w:val="right"/>
            </w:pPr>
            <w:r>
              <w:rPr>
                <w:sz w:val="18"/>
              </w:rPr>
              <w:t>78,7</w:t>
            </w:r>
          </w:p>
        </w:tc>
      </w:tr>
    </w:tbl>
    <w:p w:rsidR="00EF666D" w:rsidRDefault="00EF666D">
      <w:pPr>
        <w:spacing w:after="0"/>
      </w:pPr>
    </w:p>
    <w:p w:rsidR="00EF666D" w:rsidRDefault="001E7EE6">
      <w:pPr>
        <w:jc w:val="both"/>
      </w:pPr>
      <w:r>
        <w:t>Vrijednost Postrojenja i opreme smanjena je za 21,3%. U 2025. godini proveden je ispravak vrijednosti postrojenja i opreme, nabavljeno je uredske opreme i namještaja u vrijednosti od 1.859,94 EUR, opreme za održavanje i zaštitu u vrijednosti od 4.495,13 EU</w:t>
      </w:r>
      <w:r>
        <w:t>R i opreme za ostale namjene u vrijednosti od 475,00 EUR. Nova nabava financirana je sredstvima Primorsko-goranske županije, prihodima za posebne namjene, pomoćima, donacijama i prihodima od prodaje ili zamjene nefinancijske imovine.</w:t>
      </w:r>
    </w:p>
    <w:p w:rsidR="00EF666D" w:rsidRDefault="00EF666D"/>
    <w:p w:rsidR="00EF666D" w:rsidRDefault="001E7EE6">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Račun iz</w:t>
            </w:r>
            <w:r>
              <w:rPr>
                <w:b/>
                <w:sz w:val="18"/>
              </w:rPr>
              <w:t xml:space="preserve">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024 i 02924</w:t>
            </w:r>
          </w:p>
        </w:tc>
        <w:tc>
          <w:tcPr>
            <w:tcW w:w="3180" w:type="dxa"/>
            <w:tcMar>
              <w:top w:w="0" w:type="dxa"/>
              <w:bottom w:w="0" w:type="dxa"/>
            </w:tcMar>
            <w:vAlign w:val="center"/>
          </w:tcPr>
          <w:p w:rsidR="00EF666D" w:rsidRDefault="001E7EE6">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rsidR="00EF666D" w:rsidRDefault="001E7EE6">
            <w:pPr>
              <w:keepNext/>
              <w:keepLines/>
              <w:spacing w:after="0" w:line="240" w:lineRule="auto"/>
            </w:pPr>
            <w:r>
              <w:rPr>
                <w:sz w:val="18"/>
              </w:rPr>
              <w:t>024 i 02924</w:t>
            </w:r>
          </w:p>
        </w:tc>
        <w:tc>
          <w:tcPr>
            <w:tcW w:w="1860" w:type="dxa"/>
            <w:tcMar>
              <w:top w:w="0" w:type="dxa"/>
              <w:bottom w:w="0" w:type="dxa"/>
            </w:tcMar>
            <w:vAlign w:val="center"/>
          </w:tcPr>
          <w:p w:rsidR="00EF666D" w:rsidRDefault="001E7EE6">
            <w:pPr>
              <w:keepNext/>
              <w:keepLines/>
              <w:spacing w:after="0" w:line="240" w:lineRule="auto"/>
              <w:jc w:val="right"/>
            </w:pPr>
            <w:r>
              <w:rPr>
                <w:sz w:val="18"/>
              </w:rPr>
              <w:t>12.386,05</w:t>
            </w:r>
          </w:p>
        </w:tc>
        <w:tc>
          <w:tcPr>
            <w:tcW w:w="1860" w:type="dxa"/>
            <w:tcMar>
              <w:top w:w="0" w:type="dxa"/>
              <w:bottom w:w="0" w:type="dxa"/>
            </w:tcMar>
            <w:vAlign w:val="center"/>
          </w:tcPr>
          <w:p w:rsidR="00EF666D" w:rsidRDefault="001E7EE6">
            <w:pPr>
              <w:keepNext/>
              <w:keepLines/>
              <w:spacing w:after="0" w:line="240" w:lineRule="auto"/>
              <w:jc w:val="right"/>
            </w:pPr>
            <w:r>
              <w:rPr>
                <w:sz w:val="18"/>
              </w:rPr>
              <w:t>7.138,14</w:t>
            </w:r>
          </w:p>
        </w:tc>
        <w:tc>
          <w:tcPr>
            <w:tcW w:w="700" w:type="dxa"/>
            <w:tcMar>
              <w:top w:w="0" w:type="dxa"/>
              <w:bottom w:w="0" w:type="dxa"/>
            </w:tcMar>
            <w:vAlign w:val="center"/>
          </w:tcPr>
          <w:p w:rsidR="00EF666D" w:rsidRDefault="001E7EE6">
            <w:pPr>
              <w:keepNext/>
              <w:keepLines/>
              <w:spacing w:after="0" w:line="240" w:lineRule="auto"/>
              <w:jc w:val="right"/>
            </w:pPr>
            <w:r>
              <w:rPr>
                <w:sz w:val="18"/>
              </w:rPr>
              <w:t>57,6</w:t>
            </w:r>
          </w:p>
        </w:tc>
      </w:tr>
    </w:tbl>
    <w:p w:rsidR="00EF666D" w:rsidRDefault="00EF666D">
      <w:pPr>
        <w:spacing w:after="0"/>
      </w:pPr>
    </w:p>
    <w:p w:rsidR="00EF666D" w:rsidRDefault="001E7EE6">
      <w:pPr>
        <w:jc w:val="both"/>
      </w:pPr>
      <w:r>
        <w:t>U 2025. godini nabavljene su knjige i udžbenici u ukupnoj vrijednosti od 7.138,14 EUR, a nabava je u potpunosti financirana iz sredstava pomoći. Unatoč novim ulaganjima, iskazana vrijednost knjiga manja je za 42,4 % u odnosu na prethodnu godinu, što je isk</w:t>
      </w:r>
      <w:r>
        <w:t>ljučivo rezultat provedenog ispravka vrijednosti dugotrajne imovine u skladu s računovodstvenim propisima.</w:t>
      </w:r>
    </w:p>
    <w:p w:rsidR="00EF666D" w:rsidRDefault="00EF666D"/>
    <w:p w:rsidR="00EF666D" w:rsidRDefault="001E7EE6">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04</w:t>
            </w:r>
          </w:p>
        </w:tc>
        <w:tc>
          <w:tcPr>
            <w:tcW w:w="3180" w:type="dxa"/>
            <w:tcMar>
              <w:top w:w="0" w:type="dxa"/>
              <w:bottom w:w="0" w:type="dxa"/>
            </w:tcMar>
            <w:vAlign w:val="center"/>
          </w:tcPr>
          <w:p w:rsidR="00EF666D" w:rsidRDefault="001E7EE6">
            <w:pPr>
              <w:keepNext/>
              <w:keepLines/>
              <w:spacing w:after="0" w:line="240" w:lineRule="auto"/>
            </w:pPr>
            <w:r>
              <w:rPr>
                <w:sz w:val="18"/>
              </w:rPr>
              <w:t xml:space="preserve">Sitni inventar i </w:t>
            </w:r>
            <w:proofErr w:type="spellStart"/>
            <w:r>
              <w:rPr>
                <w:sz w:val="18"/>
              </w:rPr>
              <w:t>autogume</w:t>
            </w:r>
            <w:proofErr w:type="spellEnd"/>
            <w:r>
              <w:rPr>
                <w:sz w:val="18"/>
              </w:rPr>
              <w:t xml:space="preserve"> (šifre </w:t>
            </w:r>
            <w:r>
              <w:rPr>
                <w:sz w:val="18"/>
              </w:rPr>
              <w:t>041+042-049)</w:t>
            </w:r>
          </w:p>
        </w:tc>
        <w:tc>
          <w:tcPr>
            <w:tcW w:w="700" w:type="dxa"/>
            <w:tcMar>
              <w:top w:w="0" w:type="dxa"/>
              <w:bottom w:w="0" w:type="dxa"/>
            </w:tcMar>
            <w:vAlign w:val="center"/>
          </w:tcPr>
          <w:p w:rsidR="00EF666D" w:rsidRDefault="001E7EE6">
            <w:pPr>
              <w:keepNext/>
              <w:keepLines/>
              <w:spacing w:after="0" w:line="240" w:lineRule="auto"/>
            </w:pPr>
            <w:r>
              <w:rPr>
                <w:sz w:val="18"/>
              </w:rPr>
              <w:t>04</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Tijekom 2025. godine nabavljeno je sitnog inventara u visini od 11.902,01 EUR. Za nabavljeni sitni inventar proveden je ispravak vrijednosti po stopi od 100%.</w:t>
      </w:r>
    </w:p>
    <w:p w:rsidR="00EF666D" w:rsidRDefault="00EF666D"/>
    <w:p w:rsidR="00EF666D" w:rsidRDefault="001E7EE6">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11</w:t>
            </w:r>
          </w:p>
        </w:tc>
        <w:tc>
          <w:tcPr>
            <w:tcW w:w="3180" w:type="dxa"/>
            <w:tcMar>
              <w:top w:w="0" w:type="dxa"/>
              <w:bottom w:w="0" w:type="dxa"/>
            </w:tcMar>
            <w:vAlign w:val="center"/>
          </w:tcPr>
          <w:p w:rsidR="00EF666D" w:rsidRDefault="001E7EE6">
            <w:pPr>
              <w:keepNext/>
              <w:keepLines/>
              <w:spacing w:after="0" w:line="240" w:lineRule="auto"/>
            </w:pPr>
            <w:r>
              <w:rPr>
                <w:sz w:val="18"/>
              </w:rPr>
              <w:t>Novac u banci i blagajni (šifre 111+112 do 114)</w:t>
            </w:r>
          </w:p>
        </w:tc>
        <w:tc>
          <w:tcPr>
            <w:tcW w:w="700" w:type="dxa"/>
            <w:tcMar>
              <w:top w:w="0" w:type="dxa"/>
              <w:bottom w:w="0" w:type="dxa"/>
            </w:tcMar>
            <w:vAlign w:val="center"/>
          </w:tcPr>
          <w:p w:rsidR="00EF666D" w:rsidRDefault="001E7EE6">
            <w:pPr>
              <w:keepNext/>
              <w:keepLines/>
              <w:spacing w:after="0" w:line="240" w:lineRule="auto"/>
            </w:pPr>
            <w:r>
              <w:rPr>
                <w:sz w:val="18"/>
              </w:rPr>
              <w:t>11</w:t>
            </w:r>
          </w:p>
        </w:tc>
        <w:tc>
          <w:tcPr>
            <w:tcW w:w="1860" w:type="dxa"/>
            <w:tcMar>
              <w:top w:w="0" w:type="dxa"/>
              <w:bottom w:w="0" w:type="dxa"/>
            </w:tcMar>
            <w:vAlign w:val="center"/>
          </w:tcPr>
          <w:p w:rsidR="00EF666D" w:rsidRDefault="001E7EE6">
            <w:pPr>
              <w:keepNext/>
              <w:keepLines/>
              <w:spacing w:after="0" w:line="240" w:lineRule="auto"/>
              <w:jc w:val="right"/>
            </w:pPr>
            <w:r>
              <w:rPr>
                <w:sz w:val="18"/>
              </w:rPr>
              <w:t>46.103,34</w:t>
            </w:r>
          </w:p>
        </w:tc>
        <w:tc>
          <w:tcPr>
            <w:tcW w:w="1860" w:type="dxa"/>
            <w:tcMar>
              <w:top w:w="0" w:type="dxa"/>
              <w:bottom w:w="0" w:type="dxa"/>
            </w:tcMar>
            <w:vAlign w:val="center"/>
          </w:tcPr>
          <w:p w:rsidR="00EF666D" w:rsidRDefault="001E7EE6">
            <w:pPr>
              <w:keepNext/>
              <w:keepLines/>
              <w:spacing w:after="0" w:line="240" w:lineRule="auto"/>
              <w:jc w:val="right"/>
            </w:pPr>
            <w:r>
              <w:rPr>
                <w:sz w:val="18"/>
              </w:rPr>
              <w:t>34.917,26</w:t>
            </w:r>
          </w:p>
        </w:tc>
        <w:tc>
          <w:tcPr>
            <w:tcW w:w="700" w:type="dxa"/>
            <w:tcMar>
              <w:top w:w="0" w:type="dxa"/>
              <w:bottom w:w="0" w:type="dxa"/>
            </w:tcMar>
            <w:vAlign w:val="center"/>
          </w:tcPr>
          <w:p w:rsidR="00EF666D" w:rsidRDefault="001E7EE6">
            <w:pPr>
              <w:keepNext/>
              <w:keepLines/>
              <w:spacing w:after="0" w:line="240" w:lineRule="auto"/>
              <w:jc w:val="right"/>
            </w:pPr>
            <w:r>
              <w:rPr>
                <w:sz w:val="18"/>
              </w:rPr>
              <w:t>75,7</w:t>
            </w:r>
          </w:p>
        </w:tc>
      </w:tr>
    </w:tbl>
    <w:p w:rsidR="00EF666D" w:rsidRDefault="00EF666D">
      <w:pPr>
        <w:spacing w:after="0"/>
      </w:pPr>
    </w:p>
    <w:p w:rsidR="00EF666D" w:rsidRDefault="001E7EE6">
      <w:pPr>
        <w:jc w:val="both"/>
      </w:pPr>
      <w:r>
        <w:t xml:space="preserve">Stanje novca na računu Škole na dan 31.12.2025. godine iznosi 34.917,26 EUR, što predstavlja smanjenje od 24,3 % u odnosu na isto razdoblje prethodne godine. Navedeno smanjenje stanja na računu rezultat je ažurnog podmirivanja svih dospjelih obveza, kao i </w:t>
      </w:r>
      <w:r>
        <w:t>plaćanja dijela obveza prije roka dospijeća unutar 2025. godine, čime je postignuta maksimalna ažurnost u poslovanju prema dobavljačima.</w:t>
      </w:r>
    </w:p>
    <w:p w:rsidR="00EF666D" w:rsidRDefault="00EF666D"/>
    <w:p w:rsidR="00EF666D" w:rsidRDefault="001E7EE6">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12</w:t>
            </w:r>
          </w:p>
        </w:tc>
        <w:tc>
          <w:tcPr>
            <w:tcW w:w="3180" w:type="dxa"/>
            <w:tcMar>
              <w:top w:w="0" w:type="dxa"/>
              <w:bottom w:w="0" w:type="dxa"/>
            </w:tcMar>
            <w:vAlign w:val="center"/>
          </w:tcPr>
          <w:p w:rsidR="00EF666D" w:rsidRDefault="001E7EE6">
            <w:pPr>
              <w:keepNext/>
              <w:keepLines/>
              <w:spacing w:after="0" w:line="240" w:lineRule="auto"/>
            </w:pPr>
            <w:r>
              <w:rPr>
                <w:sz w:val="18"/>
              </w:rPr>
              <w:t xml:space="preserve">Potraživanja </w:t>
            </w:r>
            <w:r>
              <w:rPr>
                <w:sz w:val="18"/>
              </w:rPr>
              <w:t xml:space="preserve">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rsidR="00EF666D" w:rsidRDefault="001E7EE6">
            <w:pPr>
              <w:keepNext/>
              <w:keepLines/>
              <w:spacing w:after="0" w:line="240" w:lineRule="auto"/>
            </w:pPr>
            <w:r>
              <w:rPr>
                <w:sz w:val="18"/>
              </w:rPr>
              <w:t>12</w:t>
            </w:r>
          </w:p>
        </w:tc>
        <w:tc>
          <w:tcPr>
            <w:tcW w:w="1860" w:type="dxa"/>
            <w:tcMar>
              <w:top w:w="0" w:type="dxa"/>
              <w:bottom w:w="0" w:type="dxa"/>
            </w:tcMar>
            <w:vAlign w:val="center"/>
          </w:tcPr>
          <w:p w:rsidR="00EF666D" w:rsidRDefault="001E7EE6">
            <w:pPr>
              <w:keepNext/>
              <w:keepLines/>
              <w:spacing w:after="0" w:line="240" w:lineRule="auto"/>
              <w:jc w:val="right"/>
            </w:pPr>
            <w:r>
              <w:rPr>
                <w:sz w:val="18"/>
              </w:rPr>
              <w:t>7.624,36</w:t>
            </w:r>
          </w:p>
        </w:tc>
        <w:tc>
          <w:tcPr>
            <w:tcW w:w="1860" w:type="dxa"/>
            <w:tcMar>
              <w:top w:w="0" w:type="dxa"/>
              <w:bottom w:w="0" w:type="dxa"/>
            </w:tcMar>
            <w:vAlign w:val="center"/>
          </w:tcPr>
          <w:p w:rsidR="00EF666D" w:rsidRDefault="001E7EE6">
            <w:pPr>
              <w:keepNext/>
              <w:keepLines/>
              <w:spacing w:after="0" w:line="240" w:lineRule="auto"/>
              <w:jc w:val="right"/>
            </w:pPr>
            <w:r>
              <w:rPr>
                <w:sz w:val="18"/>
              </w:rPr>
              <w:t>7.417,74</w:t>
            </w:r>
          </w:p>
        </w:tc>
        <w:tc>
          <w:tcPr>
            <w:tcW w:w="700" w:type="dxa"/>
            <w:tcMar>
              <w:top w:w="0" w:type="dxa"/>
              <w:bottom w:w="0" w:type="dxa"/>
            </w:tcMar>
            <w:vAlign w:val="center"/>
          </w:tcPr>
          <w:p w:rsidR="00EF666D" w:rsidRDefault="001E7EE6">
            <w:pPr>
              <w:keepNext/>
              <w:keepLines/>
              <w:spacing w:after="0" w:line="240" w:lineRule="auto"/>
              <w:jc w:val="right"/>
            </w:pPr>
            <w:r>
              <w:rPr>
                <w:sz w:val="18"/>
              </w:rPr>
              <w:t>97,3</w:t>
            </w:r>
          </w:p>
        </w:tc>
      </w:tr>
    </w:tbl>
    <w:p w:rsidR="00EF666D" w:rsidRDefault="00EF666D">
      <w:pPr>
        <w:spacing w:after="0"/>
      </w:pPr>
    </w:p>
    <w:p w:rsidR="00EF666D" w:rsidRDefault="001E7EE6">
      <w:pPr>
        <w:jc w:val="both"/>
      </w:pPr>
      <w:r>
        <w:t>Stanje potraživanja koja se odnose na više plaćene doprinose i bolovanja na teret HZZO-a iznosi 7.417,74 EUR te je manje za 2,7% u odnosu na prethodnu godinu.</w:t>
      </w:r>
    </w:p>
    <w:p w:rsidR="00EF666D" w:rsidRDefault="00EF666D"/>
    <w:p w:rsidR="00EF666D" w:rsidRDefault="001E7EE6">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w:t>
            </w:r>
            <w:r>
              <w:rPr>
                <w:b/>
                <w:sz w:val="18"/>
              </w:rPr>
              <w:t xml:space="preserve">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16</w:t>
            </w:r>
          </w:p>
        </w:tc>
        <w:tc>
          <w:tcPr>
            <w:tcW w:w="3180" w:type="dxa"/>
            <w:tcMar>
              <w:top w:w="0" w:type="dxa"/>
              <w:bottom w:w="0" w:type="dxa"/>
            </w:tcMar>
            <w:vAlign w:val="center"/>
          </w:tcPr>
          <w:p w:rsidR="00EF666D" w:rsidRDefault="001E7EE6">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EF666D" w:rsidRDefault="001E7EE6">
            <w:pPr>
              <w:keepNext/>
              <w:keepLines/>
              <w:spacing w:after="0" w:line="240" w:lineRule="auto"/>
            </w:pPr>
            <w:r>
              <w:rPr>
                <w:sz w:val="18"/>
              </w:rPr>
              <w:t>16</w:t>
            </w:r>
          </w:p>
        </w:tc>
        <w:tc>
          <w:tcPr>
            <w:tcW w:w="1860" w:type="dxa"/>
            <w:tcMar>
              <w:top w:w="0" w:type="dxa"/>
              <w:bottom w:w="0" w:type="dxa"/>
            </w:tcMar>
            <w:vAlign w:val="center"/>
          </w:tcPr>
          <w:p w:rsidR="00EF666D" w:rsidRDefault="001E7EE6">
            <w:pPr>
              <w:keepNext/>
              <w:keepLines/>
              <w:spacing w:after="0" w:line="240" w:lineRule="auto"/>
              <w:jc w:val="right"/>
            </w:pPr>
            <w:r>
              <w:rPr>
                <w:sz w:val="18"/>
              </w:rPr>
              <w:t>19.692,80</w:t>
            </w:r>
          </w:p>
        </w:tc>
        <w:tc>
          <w:tcPr>
            <w:tcW w:w="1860" w:type="dxa"/>
            <w:tcMar>
              <w:top w:w="0" w:type="dxa"/>
              <w:bottom w:w="0" w:type="dxa"/>
            </w:tcMar>
            <w:vAlign w:val="center"/>
          </w:tcPr>
          <w:p w:rsidR="00EF666D" w:rsidRDefault="001E7EE6">
            <w:pPr>
              <w:keepNext/>
              <w:keepLines/>
              <w:spacing w:after="0" w:line="240" w:lineRule="auto"/>
              <w:jc w:val="right"/>
            </w:pPr>
            <w:r>
              <w:rPr>
                <w:sz w:val="18"/>
              </w:rPr>
              <w:t>211.840,37</w:t>
            </w:r>
          </w:p>
        </w:tc>
        <w:tc>
          <w:tcPr>
            <w:tcW w:w="700" w:type="dxa"/>
            <w:tcMar>
              <w:top w:w="0" w:type="dxa"/>
              <w:bottom w:w="0" w:type="dxa"/>
            </w:tcMar>
            <w:vAlign w:val="center"/>
          </w:tcPr>
          <w:p w:rsidR="00EF666D" w:rsidRDefault="001E7EE6">
            <w:pPr>
              <w:keepNext/>
              <w:keepLines/>
              <w:spacing w:after="0" w:line="240" w:lineRule="auto"/>
              <w:jc w:val="right"/>
            </w:pPr>
            <w:r>
              <w:rPr>
                <w:sz w:val="18"/>
              </w:rPr>
              <w:t>1075,7</w:t>
            </w:r>
          </w:p>
        </w:tc>
      </w:tr>
    </w:tbl>
    <w:p w:rsidR="00EF666D" w:rsidRDefault="00EF666D">
      <w:pPr>
        <w:spacing w:after="0"/>
      </w:pPr>
    </w:p>
    <w:p w:rsidR="00EF666D" w:rsidRDefault="001E7EE6">
      <w:pPr>
        <w:jc w:val="both"/>
      </w:pPr>
      <w:r>
        <w:t>Stanje potraživanja za prihode poslovanja bilježi porast jer od ove proračunske godine proračunski korisnici po prvi put imaju obvezu evidentiranja potraživanja za pomoći. Navedena potraživanja se najvećim dijelom odnose na potraživanja za tekuće pomoći iz</w:t>
      </w:r>
      <w:r>
        <w:t xml:space="preserve"> proračuna koji Školi nije nadležan, na potraživanja od roditelja za sufinanciranje troškova </w:t>
      </w:r>
      <w:r>
        <w:lastRenderedPageBreak/>
        <w:t>produženog boravka te na potraživanja od Dječjeg vrtića Matulji za refundaciju režijskih troškova za mjesec prosinac 2025. godine. Slijedom navedenog, na dan 31.12</w:t>
      </w:r>
      <w:r>
        <w:t>. izvršeno je evidentiranje na skupini 16 Potraživanja za prihode poslovanja, dok se doznaka sredstava i zatvaranje istih očekuje tijekom 2026. godine.</w:t>
      </w:r>
    </w:p>
    <w:p w:rsidR="00EF666D" w:rsidRDefault="00EF666D"/>
    <w:p w:rsidR="00EF666D" w:rsidRDefault="001E7EE6">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169</w:t>
            </w:r>
          </w:p>
        </w:tc>
        <w:tc>
          <w:tcPr>
            <w:tcW w:w="3180" w:type="dxa"/>
            <w:tcMar>
              <w:top w:w="0" w:type="dxa"/>
              <w:bottom w:w="0" w:type="dxa"/>
            </w:tcMar>
            <w:vAlign w:val="center"/>
          </w:tcPr>
          <w:p w:rsidR="00EF666D" w:rsidRDefault="001E7EE6">
            <w:pPr>
              <w:keepNext/>
              <w:keepLines/>
              <w:spacing w:after="0" w:line="240" w:lineRule="auto"/>
            </w:pPr>
            <w:r>
              <w:rPr>
                <w:sz w:val="18"/>
              </w:rPr>
              <w:t>Ispravak vrijednosti potraživanja</w:t>
            </w:r>
          </w:p>
        </w:tc>
        <w:tc>
          <w:tcPr>
            <w:tcW w:w="700" w:type="dxa"/>
            <w:tcMar>
              <w:top w:w="0" w:type="dxa"/>
              <w:bottom w:w="0" w:type="dxa"/>
            </w:tcMar>
            <w:vAlign w:val="center"/>
          </w:tcPr>
          <w:p w:rsidR="00EF666D" w:rsidRDefault="001E7EE6">
            <w:pPr>
              <w:keepNext/>
              <w:keepLines/>
              <w:spacing w:after="0" w:line="240" w:lineRule="auto"/>
            </w:pPr>
            <w:r>
              <w:rPr>
                <w:sz w:val="18"/>
              </w:rPr>
              <w:t>169</w:t>
            </w:r>
          </w:p>
        </w:tc>
        <w:tc>
          <w:tcPr>
            <w:tcW w:w="1860" w:type="dxa"/>
            <w:tcMar>
              <w:top w:w="0" w:type="dxa"/>
              <w:bottom w:w="0" w:type="dxa"/>
            </w:tcMar>
            <w:vAlign w:val="center"/>
          </w:tcPr>
          <w:p w:rsidR="00EF666D" w:rsidRDefault="001E7EE6">
            <w:pPr>
              <w:keepNext/>
              <w:keepLines/>
              <w:spacing w:after="0" w:line="240" w:lineRule="auto"/>
              <w:jc w:val="right"/>
            </w:pPr>
            <w:r>
              <w:rPr>
                <w:sz w:val="18"/>
              </w:rPr>
              <w:t>513,24</w:t>
            </w:r>
          </w:p>
        </w:tc>
        <w:tc>
          <w:tcPr>
            <w:tcW w:w="1860" w:type="dxa"/>
            <w:tcMar>
              <w:top w:w="0" w:type="dxa"/>
              <w:bottom w:w="0" w:type="dxa"/>
            </w:tcMar>
            <w:vAlign w:val="center"/>
          </w:tcPr>
          <w:p w:rsidR="00EF666D" w:rsidRDefault="001E7EE6">
            <w:pPr>
              <w:keepNext/>
              <w:keepLines/>
              <w:spacing w:after="0" w:line="240" w:lineRule="auto"/>
              <w:jc w:val="right"/>
            </w:pPr>
            <w:r>
              <w:rPr>
                <w:sz w:val="18"/>
              </w:rPr>
              <w:t>714,20</w:t>
            </w:r>
          </w:p>
        </w:tc>
        <w:tc>
          <w:tcPr>
            <w:tcW w:w="700" w:type="dxa"/>
            <w:tcMar>
              <w:top w:w="0" w:type="dxa"/>
              <w:bottom w:w="0" w:type="dxa"/>
            </w:tcMar>
            <w:vAlign w:val="center"/>
          </w:tcPr>
          <w:p w:rsidR="00EF666D" w:rsidRDefault="001E7EE6">
            <w:pPr>
              <w:keepNext/>
              <w:keepLines/>
              <w:spacing w:after="0" w:line="240" w:lineRule="auto"/>
              <w:jc w:val="right"/>
            </w:pPr>
            <w:r>
              <w:rPr>
                <w:sz w:val="18"/>
              </w:rPr>
              <w:t>139,2</w:t>
            </w:r>
          </w:p>
        </w:tc>
      </w:tr>
    </w:tbl>
    <w:p w:rsidR="00EF666D" w:rsidRDefault="00EF666D">
      <w:pPr>
        <w:spacing w:after="0"/>
      </w:pPr>
    </w:p>
    <w:p w:rsidR="00EF666D" w:rsidRDefault="001E7EE6">
      <w:pPr>
        <w:jc w:val="both"/>
      </w:pPr>
      <w:r>
        <w:t>Za potraživanja starija od dvije godine proveden je ispravak vrijednosti po stopi od 100 %, sukladno važećim računovodstvenim propisima o postupanju s dospjelim, a nenaplaćenim potraživanjima.</w:t>
      </w:r>
    </w:p>
    <w:p w:rsidR="00EF666D" w:rsidRDefault="00EF666D"/>
    <w:p w:rsidR="00EF666D" w:rsidRDefault="001E7EE6">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19</w:t>
            </w:r>
          </w:p>
        </w:tc>
        <w:tc>
          <w:tcPr>
            <w:tcW w:w="3180" w:type="dxa"/>
            <w:tcMar>
              <w:top w:w="0" w:type="dxa"/>
              <w:bottom w:w="0" w:type="dxa"/>
            </w:tcMar>
            <w:vAlign w:val="center"/>
          </w:tcPr>
          <w:p w:rsidR="00EF666D" w:rsidRDefault="001E7EE6">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EF666D" w:rsidRDefault="001E7EE6">
            <w:pPr>
              <w:keepNext/>
              <w:keepLines/>
              <w:spacing w:after="0" w:line="240" w:lineRule="auto"/>
            </w:pPr>
            <w:r>
              <w:rPr>
                <w:sz w:val="18"/>
              </w:rPr>
              <w:t>19</w:t>
            </w:r>
          </w:p>
        </w:tc>
        <w:tc>
          <w:tcPr>
            <w:tcW w:w="1860" w:type="dxa"/>
            <w:tcMar>
              <w:top w:w="0" w:type="dxa"/>
              <w:bottom w:w="0" w:type="dxa"/>
            </w:tcMar>
            <w:vAlign w:val="center"/>
          </w:tcPr>
          <w:p w:rsidR="00EF666D" w:rsidRDefault="001E7EE6">
            <w:pPr>
              <w:keepNext/>
              <w:keepLines/>
              <w:spacing w:after="0" w:line="240" w:lineRule="auto"/>
              <w:jc w:val="right"/>
            </w:pPr>
            <w:r>
              <w:rPr>
                <w:sz w:val="18"/>
              </w:rPr>
              <w:t>186.734,26</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700" w:type="dxa"/>
            <w:tcMar>
              <w:top w:w="0" w:type="dxa"/>
              <w:bottom w:w="0" w:type="dxa"/>
            </w:tcMar>
            <w:vAlign w:val="center"/>
          </w:tcPr>
          <w:p w:rsidR="00EF666D" w:rsidRDefault="001E7EE6">
            <w:pPr>
              <w:keepNext/>
              <w:keepLines/>
              <w:spacing w:after="0" w:line="240" w:lineRule="auto"/>
              <w:jc w:val="right"/>
            </w:pPr>
            <w:r>
              <w:rPr>
                <w:sz w:val="18"/>
              </w:rPr>
              <w:t>0</w:t>
            </w:r>
          </w:p>
        </w:tc>
      </w:tr>
    </w:tbl>
    <w:p w:rsidR="00EF666D" w:rsidRDefault="00EF666D">
      <w:pPr>
        <w:spacing w:after="0"/>
      </w:pPr>
    </w:p>
    <w:p w:rsidR="00EF666D" w:rsidRDefault="001E7EE6">
      <w:pPr>
        <w:jc w:val="both"/>
      </w:pPr>
      <w:r>
        <w:t xml:space="preserve">Podatak za aktivna vremenska razgraničenja za rashode budućih razdoblja i nedospjelu naplatu prihoda evidentiran je sa stanjem na dan 1. siječnja 2025. godine kada se prema novom Pravilniku o proračunskom računovodstvu podskupina 193 kontinuiranih rashoda </w:t>
      </w:r>
      <w:r>
        <w:t>budućih razdoblja ukida.</w:t>
      </w:r>
    </w:p>
    <w:p w:rsidR="00EF666D" w:rsidRDefault="00EF666D"/>
    <w:p w:rsidR="00EF666D" w:rsidRDefault="001E7EE6">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2</w:t>
            </w:r>
          </w:p>
        </w:tc>
        <w:tc>
          <w:tcPr>
            <w:tcW w:w="3180" w:type="dxa"/>
            <w:tcMar>
              <w:top w:w="0" w:type="dxa"/>
              <w:bottom w:w="0" w:type="dxa"/>
            </w:tcMar>
            <w:vAlign w:val="center"/>
          </w:tcPr>
          <w:p w:rsidR="00EF666D" w:rsidRDefault="001E7EE6">
            <w:pPr>
              <w:keepNext/>
              <w:keepLines/>
              <w:spacing w:after="0" w:line="240" w:lineRule="auto"/>
            </w:pPr>
            <w:r>
              <w:rPr>
                <w:sz w:val="18"/>
              </w:rPr>
              <w:t>Obveze (šifre 23+24+25+26+27+29)</w:t>
            </w:r>
          </w:p>
        </w:tc>
        <w:tc>
          <w:tcPr>
            <w:tcW w:w="700" w:type="dxa"/>
            <w:tcMar>
              <w:top w:w="0" w:type="dxa"/>
              <w:bottom w:w="0" w:type="dxa"/>
            </w:tcMar>
            <w:vAlign w:val="center"/>
          </w:tcPr>
          <w:p w:rsidR="00EF666D" w:rsidRDefault="001E7EE6">
            <w:pPr>
              <w:keepNext/>
              <w:keepLines/>
              <w:spacing w:after="0" w:line="240" w:lineRule="auto"/>
            </w:pPr>
            <w:r>
              <w:rPr>
                <w:sz w:val="18"/>
              </w:rPr>
              <w:t>2</w:t>
            </w:r>
          </w:p>
        </w:tc>
        <w:tc>
          <w:tcPr>
            <w:tcW w:w="1860" w:type="dxa"/>
            <w:tcMar>
              <w:top w:w="0" w:type="dxa"/>
              <w:bottom w:w="0" w:type="dxa"/>
            </w:tcMar>
            <w:vAlign w:val="center"/>
          </w:tcPr>
          <w:p w:rsidR="00EF666D" w:rsidRDefault="001E7EE6">
            <w:pPr>
              <w:keepNext/>
              <w:keepLines/>
              <w:spacing w:after="0" w:line="240" w:lineRule="auto"/>
              <w:jc w:val="right"/>
            </w:pPr>
            <w:r>
              <w:rPr>
                <w:sz w:val="18"/>
              </w:rPr>
              <w:t>230.450,77</w:t>
            </w:r>
          </w:p>
        </w:tc>
        <w:tc>
          <w:tcPr>
            <w:tcW w:w="1860" w:type="dxa"/>
            <w:tcMar>
              <w:top w:w="0" w:type="dxa"/>
              <w:bottom w:w="0" w:type="dxa"/>
            </w:tcMar>
            <w:vAlign w:val="center"/>
          </w:tcPr>
          <w:p w:rsidR="00EF666D" w:rsidRDefault="001E7EE6">
            <w:pPr>
              <w:keepNext/>
              <w:keepLines/>
              <w:spacing w:after="0" w:line="240" w:lineRule="auto"/>
              <w:jc w:val="right"/>
            </w:pPr>
            <w:r>
              <w:rPr>
                <w:sz w:val="18"/>
              </w:rPr>
              <w:t>232.941,28</w:t>
            </w:r>
          </w:p>
        </w:tc>
        <w:tc>
          <w:tcPr>
            <w:tcW w:w="700" w:type="dxa"/>
            <w:tcMar>
              <w:top w:w="0" w:type="dxa"/>
              <w:bottom w:w="0" w:type="dxa"/>
            </w:tcMar>
            <w:vAlign w:val="center"/>
          </w:tcPr>
          <w:p w:rsidR="00EF666D" w:rsidRDefault="001E7EE6">
            <w:pPr>
              <w:keepNext/>
              <w:keepLines/>
              <w:spacing w:after="0" w:line="240" w:lineRule="auto"/>
              <w:jc w:val="right"/>
            </w:pPr>
            <w:r>
              <w:rPr>
                <w:sz w:val="18"/>
              </w:rPr>
              <w:t>101,1</w:t>
            </w:r>
          </w:p>
        </w:tc>
      </w:tr>
    </w:tbl>
    <w:p w:rsidR="00EF666D" w:rsidRDefault="00EF666D">
      <w:pPr>
        <w:spacing w:after="0"/>
      </w:pPr>
    </w:p>
    <w:p w:rsidR="00EF666D" w:rsidRDefault="001E7EE6">
      <w:r>
        <w:t>Ukupne obveze u razredu 2 bilježe povećanje od 1,1% u odnosu na prethodnu godinu i iznose ukupno 232.941,28 EUR.</w:t>
      </w:r>
    </w:p>
    <w:p w:rsidR="00EF666D" w:rsidRDefault="00EF666D"/>
    <w:p w:rsidR="00EF666D" w:rsidRDefault="001E7EE6">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23</w:t>
            </w:r>
          </w:p>
        </w:tc>
        <w:tc>
          <w:tcPr>
            <w:tcW w:w="3180" w:type="dxa"/>
            <w:tcMar>
              <w:top w:w="0" w:type="dxa"/>
              <w:bottom w:w="0" w:type="dxa"/>
            </w:tcMar>
            <w:vAlign w:val="center"/>
          </w:tcPr>
          <w:p w:rsidR="00EF666D" w:rsidRDefault="001E7EE6">
            <w:pPr>
              <w:keepNext/>
              <w:keepLines/>
              <w:spacing w:after="0" w:line="240" w:lineRule="auto"/>
            </w:pPr>
            <w:r>
              <w:rPr>
                <w:sz w:val="18"/>
              </w:rPr>
              <w:t xml:space="preserve">Obveze za rashode poslovanja (šifre </w:t>
            </w:r>
            <w:r>
              <w:rPr>
                <w:sz w:val="18"/>
              </w:rPr>
              <w:t>231 do 234 + 235 + 236 + 237 do 239)</w:t>
            </w:r>
          </w:p>
        </w:tc>
        <w:tc>
          <w:tcPr>
            <w:tcW w:w="700" w:type="dxa"/>
            <w:tcMar>
              <w:top w:w="0" w:type="dxa"/>
              <w:bottom w:w="0" w:type="dxa"/>
            </w:tcMar>
            <w:vAlign w:val="center"/>
          </w:tcPr>
          <w:p w:rsidR="00EF666D" w:rsidRDefault="001E7EE6">
            <w:pPr>
              <w:keepNext/>
              <w:keepLines/>
              <w:spacing w:after="0" w:line="240" w:lineRule="auto"/>
            </w:pPr>
            <w:r>
              <w:rPr>
                <w:sz w:val="18"/>
              </w:rPr>
              <w:t>23</w:t>
            </w:r>
          </w:p>
        </w:tc>
        <w:tc>
          <w:tcPr>
            <w:tcW w:w="1860" w:type="dxa"/>
            <w:tcMar>
              <w:top w:w="0" w:type="dxa"/>
              <w:bottom w:w="0" w:type="dxa"/>
            </w:tcMar>
            <w:vAlign w:val="center"/>
          </w:tcPr>
          <w:p w:rsidR="00EF666D" w:rsidRDefault="001E7EE6">
            <w:pPr>
              <w:keepNext/>
              <w:keepLines/>
              <w:spacing w:after="0" w:line="240" w:lineRule="auto"/>
              <w:jc w:val="right"/>
            </w:pPr>
            <w:r>
              <w:rPr>
                <w:sz w:val="18"/>
              </w:rPr>
              <w:t>224.927,85</w:t>
            </w:r>
          </w:p>
        </w:tc>
        <w:tc>
          <w:tcPr>
            <w:tcW w:w="1860" w:type="dxa"/>
            <w:tcMar>
              <w:top w:w="0" w:type="dxa"/>
              <w:bottom w:w="0" w:type="dxa"/>
            </w:tcMar>
            <w:vAlign w:val="center"/>
          </w:tcPr>
          <w:p w:rsidR="00EF666D" w:rsidRDefault="001E7EE6">
            <w:pPr>
              <w:keepNext/>
              <w:keepLines/>
              <w:spacing w:after="0" w:line="240" w:lineRule="auto"/>
              <w:jc w:val="right"/>
            </w:pPr>
            <w:r>
              <w:rPr>
                <w:sz w:val="18"/>
              </w:rPr>
              <w:t>227.211,40</w:t>
            </w:r>
          </w:p>
        </w:tc>
        <w:tc>
          <w:tcPr>
            <w:tcW w:w="700" w:type="dxa"/>
            <w:tcMar>
              <w:top w:w="0" w:type="dxa"/>
              <w:bottom w:w="0" w:type="dxa"/>
            </w:tcMar>
            <w:vAlign w:val="center"/>
          </w:tcPr>
          <w:p w:rsidR="00EF666D" w:rsidRDefault="001E7EE6">
            <w:pPr>
              <w:keepNext/>
              <w:keepLines/>
              <w:spacing w:after="0" w:line="240" w:lineRule="auto"/>
              <w:jc w:val="right"/>
            </w:pPr>
            <w:r>
              <w:rPr>
                <w:sz w:val="18"/>
              </w:rPr>
              <w:t>101,0</w:t>
            </w:r>
          </w:p>
        </w:tc>
      </w:tr>
    </w:tbl>
    <w:p w:rsidR="00EF666D" w:rsidRDefault="00EF666D">
      <w:pPr>
        <w:spacing w:after="0"/>
      </w:pPr>
    </w:p>
    <w:p w:rsidR="00EF666D" w:rsidRDefault="001E7EE6">
      <w:pPr>
        <w:jc w:val="both"/>
      </w:pPr>
      <w:r>
        <w:t>Obveze za rashode poslovanja više su za 1,0% u odnosu na stanje od 1. siječnja. Obveze za plaće za mjesec prosinac 2025. godine u iznosu od 202.046,24 EUR podmirene su do 15. siječnja 2026. godine. Svi materijali rashodi su podmireni prema roku dospijeća u</w:t>
      </w:r>
      <w:r>
        <w:t xml:space="preserve"> mjesecu prosincu 2025. godine, a ostale obveze za materijalne rashode koje su ostale nepodmirene na dan 31. prosinca 2025. godine i koje su podmirene u mjesecu siječnju 2026. godine iznose 22.373,39 EUR. Obveze za financijske rashode u iznosu od 188,14 EU</w:t>
      </w:r>
      <w:r>
        <w:t>R naplaćene su s računa Škole u mjesecu siječnju 2026. godine. Obveza za prijevoz učenika zatvara se isključivo po pristizanju namjenskih sredstava Ministarstva znanosti, obrazovanja i mladih. </w:t>
      </w:r>
    </w:p>
    <w:p w:rsidR="00EF666D" w:rsidRDefault="00EF666D"/>
    <w:p w:rsidR="00EF666D" w:rsidRDefault="001E7EE6">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27</w:t>
            </w:r>
          </w:p>
        </w:tc>
        <w:tc>
          <w:tcPr>
            <w:tcW w:w="3180" w:type="dxa"/>
            <w:tcMar>
              <w:top w:w="0" w:type="dxa"/>
              <w:bottom w:w="0" w:type="dxa"/>
            </w:tcMar>
            <w:vAlign w:val="center"/>
          </w:tcPr>
          <w:p w:rsidR="00EF666D" w:rsidRDefault="001E7EE6">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EF666D" w:rsidRDefault="001E7EE6">
            <w:pPr>
              <w:keepNext/>
              <w:keepLines/>
              <w:spacing w:after="0" w:line="240" w:lineRule="auto"/>
            </w:pPr>
            <w:r>
              <w:rPr>
                <w:sz w:val="18"/>
              </w:rPr>
              <w:t>27</w:t>
            </w:r>
          </w:p>
        </w:tc>
        <w:tc>
          <w:tcPr>
            <w:tcW w:w="1860" w:type="dxa"/>
            <w:tcMar>
              <w:top w:w="0" w:type="dxa"/>
              <w:bottom w:w="0" w:type="dxa"/>
            </w:tcMar>
            <w:vAlign w:val="center"/>
          </w:tcPr>
          <w:p w:rsidR="00EF666D" w:rsidRDefault="001E7EE6">
            <w:pPr>
              <w:keepNext/>
              <w:keepLines/>
              <w:spacing w:after="0" w:line="240" w:lineRule="auto"/>
              <w:jc w:val="right"/>
            </w:pPr>
            <w:r>
              <w:rPr>
                <w:sz w:val="18"/>
              </w:rPr>
              <w:t>5.522,92</w:t>
            </w:r>
          </w:p>
        </w:tc>
        <w:tc>
          <w:tcPr>
            <w:tcW w:w="1860" w:type="dxa"/>
            <w:tcMar>
              <w:top w:w="0" w:type="dxa"/>
              <w:bottom w:w="0" w:type="dxa"/>
            </w:tcMar>
            <w:vAlign w:val="center"/>
          </w:tcPr>
          <w:p w:rsidR="00EF666D" w:rsidRDefault="001E7EE6">
            <w:pPr>
              <w:keepNext/>
              <w:keepLines/>
              <w:spacing w:after="0" w:line="240" w:lineRule="auto"/>
              <w:jc w:val="right"/>
            </w:pPr>
            <w:r>
              <w:rPr>
                <w:sz w:val="18"/>
              </w:rPr>
              <w:t>5.729,88</w:t>
            </w:r>
          </w:p>
        </w:tc>
        <w:tc>
          <w:tcPr>
            <w:tcW w:w="700" w:type="dxa"/>
            <w:tcMar>
              <w:top w:w="0" w:type="dxa"/>
              <w:bottom w:w="0" w:type="dxa"/>
            </w:tcMar>
            <w:vAlign w:val="center"/>
          </w:tcPr>
          <w:p w:rsidR="00EF666D" w:rsidRDefault="001E7EE6">
            <w:pPr>
              <w:keepNext/>
              <w:keepLines/>
              <w:spacing w:after="0" w:line="240" w:lineRule="auto"/>
              <w:jc w:val="right"/>
            </w:pPr>
            <w:r>
              <w:rPr>
                <w:sz w:val="18"/>
              </w:rPr>
              <w:t>103,7</w:t>
            </w:r>
          </w:p>
        </w:tc>
      </w:tr>
    </w:tbl>
    <w:p w:rsidR="00EF666D" w:rsidRDefault="00EF666D">
      <w:pPr>
        <w:spacing w:after="0"/>
      </w:pPr>
    </w:p>
    <w:p w:rsidR="00EF666D" w:rsidRDefault="001E7EE6">
      <w:pPr>
        <w:jc w:val="both"/>
      </w:pPr>
      <w:r>
        <w:t>Obveza za bolovanja na teret HZZO-a nema utvrđen datum dospijeća jer je za istu iskazano potraživanje, a zatvara se isključivo po zaprimanju obavijesti Ministarstva financija o doznačenim sredstvima. Uz obvezu za bolovanja na teret HZZO-a na računu 27 iska</w:t>
      </w:r>
      <w:r>
        <w:t>zan je iznos od 0,10 EUR obveze za primljene predujmove.</w:t>
      </w:r>
    </w:p>
    <w:p w:rsidR="00EF666D" w:rsidRDefault="00EF666D"/>
    <w:p w:rsidR="00EF666D" w:rsidRDefault="001E7EE6">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911</w:t>
            </w:r>
          </w:p>
        </w:tc>
        <w:tc>
          <w:tcPr>
            <w:tcW w:w="3180" w:type="dxa"/>
            <w:tcMar>
              <w:top w:w="0" w:type="dxa"/>
              <w:bottom w:w="0" w:type="dxa"/>
            </w:tcMar>
            <w:vAlign w:val="center"/>
          </w:tcPr>
          <w:p w:rsidR="00EF666D" w:rsidRDefault="001E7EE6">
            <w:pPr>
              <w:keepNext/>
              <w:keepLines/>
              <w:spacing w:after="0" w:line="240" w:lineRule="auto"/>
            </w:pPr>
            <w:r>
              <w:rPr>
                <w:sz w:val="18"/>
              </w:rPr>
              <w:t>Vlastiti izvori</w:t>
            </w:r>
          </w:p>
        </w:tc>
        <w:tc>
          <w:tcPr>
            <w:tcW w:w="700" w:type="dxa"/>
            <w:tcMar>
              <w:top w:w="0" w:type="dxa"/>
              <w:bottom w:w="0" w:type="dxa"/>
            </w:tcMar>
            <w:vAlign w:val="center"/>
          </w:tcPr>
          <w:p w:rsidR="00EF666D" w:rsidRDefault="001E7EE6">
            <w:pPr>
              <w:keepNext/>
              <w:keepLines/>
              <w:spacing w:after="0" w:line="240" w:lineRule="auto"/>
            </w:pPr>
            <w:r>
              <w:rPr>
                <w:sz w:val="18"/>
              </w:rPr>
              <w:t>911</w:t>
            </w:r>
          </w:p>
        </w:tc>
        <w:tc>
          <w:tcPr>
            <w:tcW w:w="1860" w:type="dxa"/>
            <w:tcMar>
              <w:top w:w="0" w:type="dxa"/>
              <w:bottom w:w="0" w:type="dxa"/>
            </w:tcMar>
            <w:vAlign w:val="center"/>
          </w:tcPr>
          <w:p w:rsidR="00EF666D" w:rsidRDefault="001E7EE6">
            <w:pPr>
              <w:keepNext/>
              <w:keepLines/>
              <w:spacing w:after="0" w:line="240" w:lineRule="auto"/>
              <w:jc w:val="right"/>
            </w:pPr>
            <w:r>
              <w:rPr>
                <w:sz w:val="18"/>
              </w:rPr>
              <w:t>233.106,67</w:t>
            </w:r>
          </w:p>
        </w:tc>
        <w:tc>
          <w:tcPr>
            <w:tcW w:w="1860" w:type="dxa"/>
            <w:tcMar>
              <w:top w:w="0" w:type="dxa"/>
              <w:bottom w:w="0" w:type="dxa"/>
            </w:tcMar>
            <w:vAlign w:val="center"/>
          </w:tcPr>
          <w:p w:rsidR="00EF666D" w:rsidRDefault="001E7EE6">
            <w:pPr>
              <w:keepNext/>
              <w:keepLines/>
              <w:spacing w:after="0" w:line="240" w:lineRule="auto"/>
              <w:jc w:val="right"/>
            </w:pPr>
            <w:r>
              <w:rPr>
                <w:sz w:val="18"/>
              </w:rPr>
              <w:t>202.665,67</w:t>
            </w:r>
          </w:p>
        </w:tc>
        <w:tc>
          <w:tcPr>
            <w:tcW w:w="700" w:type="dxa"/>
            <w:tcMar>
              <w:top w:w="0" w:type="dxa"/>
              <w:bottom w:w="0" w:type="dxa"/>
            </w:tcMar>
            <w:vAlign w:val="center"/>
          </w:tcPr>
          <w:p w:rsidR="00EF666D" w:rsidRDefault="001E7EE6">
            <w:pPr>
              <w:keepNext/>
              <w:keepLines/>
              <w:spacing w:after="0" w:line="240" w:lineRule="auto"/>
              <w:jc w:val="right"/>
            </w:pPr>
            <w:r>
              <w:rPr>
                <w:sz w:val="18"/>
              </w:rPr>
              <w:t>86,9</w:t>
            </w:r>
          </w:p>
        </w:tc>
      </w:tr>
    </w:tbl>
    <w:p w:rsidR="00EF666D" w:rsidRDefault="00EF666D">
      <w:pPr>
        <w:spacing w:after="0"/>
      </w:pPr>
    </w:p>
    <w:p w:rsidR="00EF666D" w:rsidRDefault="001E7EE6">
      <w:r>
        <w:t>Vlastiti izvori su radi provedenog obračuna amortizacije niži za 13,1%. </w:t>
      </w:r>
    </w:p>
    <w:p w:rsidR="00EF666D" w:rsidRDefault="00EF666D"/>
    <w:p w:rsidR="00EF666D" w:rsidRDefault="001E7EE6">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922</w:t>
            </w:r>
          </w:p>
        </w:tc>
        <w:tc>
          <w:tcPr>
            <w:tcW w:w="3180" w:type="dxa"/>
            <w:tcMar>
              <w:top w:w="0" w:type="dxa"/>
              <w:bottom w:w="0" w:type="dxa"/>
            </w:tcMar>
            <w:vAlign w:val="center"/>
          </w:tcPr>
          <w:p w:rsidR="00EF666D" w:rsidRDefault="001E7EE6">
            <w:pPr>
              <w:keepNext/>
              <w:keepLines/>
              <w:spacing w:after="0" w:line="240" w:lineRule="auto"/>
            </w:pPr>
            <w:r>
              <w:rPr>
                <w:sz w:val="18"/>
              </w:rPr>
              <w:t>Rezultat - višak/manjak (šifre 9221-9222)</w:t>
            </w:r>
          </w:p>
        </w:tc>
        <w:tc>
          <w:tcPr>
            <w:tcW w:w="700" w:type="dxa"/>
            <w:tcMar>
              <w:top w:w="0" w:type="dxa"/>
              <w:bottom w:w="0" w:type="dxa"/>
            </w:tcMar>
            <w:vAlign w:val="center"/>
          </w:tcPr>
          <w:p w:rsidR="00EF666D" w:rsidRDefault="001E7EE6">
            <w:pPr>
              <w:keepNext/>
              <w:keepLines/>
              <w:spacing w:after="0" w:line="240" w:lineRule="auto"/>
            </w:pPr>
            <w:r>
              <w:rPr>
                <w:sz w:val="18"/>
              </w:rPr>
              <w:t>922</w:t>
            </w:r>
          </w:p>
        </w:tc>
        <w:tc>
          <w:tcPr>
            <w:tcW w:w="1860" w:type="dxa"/>
            <w:tcMar>
              <w:top w:w="0" w:type="dxa"/>
              <w:bottom w:w="0" w:type="dxa"/>
            </w:tcMar>
            <w:vAlign w:val="center"/>
          </w:tcPr>
          <w:p w:rsidR="00EF666D" w:rsidRDefault="001E7EE6">
            <w:pPr>
              <w:keepNext/>
              <w:keepLines/>
              <w:spacing w:after="0" w:line="240" w:lineRule="auto"/>
              <w:jc w:val="right"/>
            </w:pPr>
            <w:r>
              <w:rPr>
                <w:sz w:val="18"/>
              </w:rPr>
              <w:t>9.981,35</w:t>
            </w:r>
          </w:p>
        </w:tc>
        <w:tc>
          <w:tcPr>
            <w:tcW w:w="1860" w:type="dxa"/>
            <w:tcMar>
              <w:top w:w="0" w:type="dxa"/>
              <w:bottom w:w="0" w:type="dxa"/>
            </w:tcMar>
            <w:vAlign w:val="center"/>
          </w:tcPr>
          <w:p w:rsidR="00EF666D" w:rsidRDefault="001E7EE6">
            <w:pPr>
              <w:keepNext/>
              <w:keepLines/>
              <w:spacing w:after="0" w:line="240" w:lineRule="auto"/>
              <w:jc w:val="right"/>
            </w:pPr>
            <w:r>
              <w:rPr>
                <w:sz w:val="18"/>
              </w:rPr>
              <w:t>-190.636,12</w:t>
            </w:r>
          </w:p>
        </w:tc>
        <w:tc>
          <w:tcPr>
            <w:tcW w:w="700" w:type="dxa"/>
            <w:tcMar>
              <w:top w:w="0" w:type="dxa"/>
              <w:bottom w:w="0" w:type="dxa"/>
            </w:tcMar>
            <w:vAlign w:val="center"/>
          </w:tcPr>
          <w:p w:rsidR="00EF666D" w:rsidRDefault="001E7EE6">
            <w:pPr>
              <w:keepNext/>
              <w:keepLines/>
              <w:spacing w:after="0" w:line="240" w:lineRule="auto"/>
              <w:jc w:val="right"/>
            </w:pPr>
            <w:r>
              <w:rPr>
                <w:sz w:val="18"/>
              </w:rPr>
              <w:t>-1909,9</w:t>
            </w:r>
          </w:p>
        </w:tc>
      </w:tr>
    </w:tbl>
    <w:p w:rsidR="00EF666D" w:rsidRDefault="00EF666D">
      <w:pPr>
        <w:spacing w:after="0"/>
      </w:pPr>
    </w:p>
    <w:p w:rsidR="00EF666D" w:rsidRDefault="001E7EE6">
      <w:pPr>
        <w:jc w:val="both"/>
      </w:pPr>
      <w:r>
        <w:lastRenderedPageBreak/>
        <w:t>Višak/manjak prihoda treba sadržavati obrazloženje provedene korekcije rezultata propisane Pravilnikom o proračunskom računovodstvu. Korekcija se najčešće odnosi na korekciju rezultata redovnog poslovanja zbog kapitalnih prijenosa sredstava kojima su fina</w:t>
      </w:r>
      <w:r>
        <w:t>ncirane nabave nefinancijske imovine. Ukoliko se provodila korekcija, postoji odstupanje od iskazanih pozicija u obrascu PR-RAS i Bilanci. Podaci u bilanci iskazani su nakon obavezne korekcije rezultata sukladno Pravilnika o proračunskom računovodstvu te j</w:t>
      </w:r>
      <w:r>
        <w:t>e iskazan manjak prihoda poslovanja u iznosu od 186.473,67 EUR i manjak prihoda od nefinancijske imovine u iznosu od 4.162,45 EUR. Temeljem navedenog postoji odstupanje u odnosu na obrazac PR-RAS. Tijekom 2025. godine na računima kapitalnih prijenosa evide</w:t>
      </w:r>
      <w:r>
        <w:t>ntirana su sredstva u iznosu od 8.393,93 EUR koja su utrošena za nabavu dugotrajne nefinancijske imovine:</w:t>
      </w:r>
    </w:p>
    <w:p w:rsidR="00EF666D" w:rsidRDefault="001E7EE6">
      <w:r>
        <w:t>-          6362 - Kapitalne pomoći proračunskim korisnicima iz proračuna koji im nije nadležan –  5.898,80 EUR,</w:t>
      </w:r>
    </w:p>
    <w:p w:rsidR="00EF666D" w:rsidRDefault="001E7EE6">
      <w:r>
        <w:t>-          6712 – Prihodi iz nadležnog</w:t>
      </w:r>
      <w:r>
        <w:t xml:space="preserve"> proračuna za financiranje rashoda za nabavu nefinancijske imovine –  2.495,13 EUR.</w:t>
      </w:r>
    </w:p>
    <w:p w:rsidR="00EF666D" w:rsidRDefault="001E7EE6">
      <w:pPr>
        <w:jc w:val="both"/>
      </w:pPr>
      <w:r>
        <w:t>Navedeni kapitalni prihodi utjecali su na rezultat od redovnog poslovanja, a nabavljena nefinancijska imovina na rezultat od nefinancijske imovine. Provedena je korekcija r</w:t>
      </w:r>
      <w:r>
        <w:t>ezultata na način da se za iznos od 8.393,93 EUR zadužuje račun viška prihoda poslovanja, a odobrava račun manjka prihoda od nefinancijske imovine.</w:t>
      </w:r>
    </w:p>
    <w:p w:rsidR="00EF666D" w:rsidRDefault="00EF666D"/>
    <w:p w:rsidR="00EF666D" w:rsidRDefault="001E7EE6">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99</w:t>
            </w:r>
          </w:p>
        </w:tc>
        <w:tc>
          <w:tcPr>
            <w:tcW w:w="3180" w:type="dxa"/>
            <w:tcMar>
              <w:top w:w="0" w:type="dxa"/>
              <w:bottom w:w="0" w:type="dxa"/>
            </w:tcMar>
            <w:vAlign w:val="center"/>
          </w:tcPr>
          <w:p w:rsidR="00EF666D" w:rsidRDefault="001E7EE6">
            <w:pPr>
              <w:keepNext/>
              <w:keepLines/>
              <w:spacing w:after="0" w:line="240" w:lineRule="auto"/>
            </w:pPr>
            <w:proofErr w:type="spellStart"/>
            <w:r>
              <w:rPr>
                <w:sz w:val="18"/>
              </w:rPr>
              <w:t>Izvanbilančni</w:t>
            </w:r>
            <w:proofErr w:type="spellEnd"/>
            <w:r>
              <w:rPr>
                <w:sz w:val="18"/>
              </w:rPr>
              <w:t xml:space="preserve"> zapisi (=0)</w:t>
            </w:r>
          </w:p>
        </w:tc>
        <w:tc>
          <w:tcPr>
            <w:tcW w:w="700" w:type="dxa"/>
            <w:tcMar>
              <w:top w:w="0" w:type="dxa"/>
              <w:bottom w:w="0" w:type="dxa"/>
            </w:tcMar>
            <w:vAlign w:val="center"/>
          </w:tcPr>
          <w:p w:rsidR="00EF666D" w:rsidRDefault="001E7EE6">
            <w:pPr>
              <w:keepNext/>
              <w:keepLines/>
              <w:spacing w:after="0" w:line="240" w:lineRule="auto"/>
            </w:pPr>
            <w:r>
              <w:rPr>
                <w:sz w:val="18"/>
              </w:rPr>
              <w:t>99</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 xml:space="preserve">U 2024. godini izvršeno je usklađenje knjigovodstvenog stanja </w:t>
      </w:r>
      <w:proofErr w:type="spellStart"/>
      <w:r>
        <w:t>izvanbilančnih</w:t>
      </w:r>
      <w:proofErr w:type="spellEnd"/>
      <w:r>
        <w:t xml:space="preserve"> zapisa na kojima su iskazane tri školske zgrade u vlasništvu Općine Matulji. Stanje predmetnih </w:t>
      </w:r>
      <w:proofErr w:type="spellStart"/>
      <w:r>
        <w:t>izvanbilančnih</w:t>
      </w:r>
      <w:proofErr w:type="spellEnd"/>
      <w:r>
        <w:t xml:space="preserve"> pozicija usklađeno je s podacima iz službene evidencije nekretnina ko</w:t>
      </w:r>
      <w:r>
        <w:t>ju vodi vlasnik, Općina Matulji.</w:t>
      </w:r>
    </w:p>
    <w:p w:rsidR="00EF666D" w:rsidRDefault="00EF666D"/>
    <w:p w:rsidR="00EF666D" w:rsidRDefault="001E7EE6">
      <w:pPr>
        <w:keepNext/>
        <w:spacing w:line="240" w:lineRule="auto"/>
        <w:jc w:val="center"/>
      </w:pPr>
      <w:r>
        <w:rPr>
          <w:b/>
          <w:sz w:val="28"/>
        </w:rPr>
        <w:t>Izvještaj o rashodima prema funkcijskoj klasifikaciji</w:t>
      </w:r>
    </w:p>
    <w:p w:rsidR="00EF666D" w:rsidRDefault="001E7EE6">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1E7EE6">
            <w:pPr>
              <w:keepNext/>
              <w:keepLines/>
              <w:spacing w:after="0" w:line="240" w:lineRule="auto"/>
            </w:pPr>
            <w:r>
              <w:rPr>
                <w:sz w:val="18"/>
              </w:rPr>
              <w:t>09</w:t>
            </w:r>
          </w:p>
        </w:tc>
        <w:tc>
          <w:tcPr>
            <w:tcW w:w="3180" w:type="dxa"/>
            <w:tcMar>
              <w:top w:w="0" w:type="dxa"/>
              <w:bottom w:w="0" w:type="dxa"/>
            </w:tcMar>
            <w:vAlign w:val="center"/>
          </w:tcPr>
          <w:p w:rsidR="00EF666D" w:rsidRDefault="001E7EE6">
            <w:pPr>
              <w:keepNext/>
              <w:keepLines/>
              <w:spacing w:after="0" w:line="240" w:lineRule="auto"/>
            </w:pPr>
            <w:r>
              <w:rPr>
                <w:sz w:val="18"/>
              </w:rPr>
              <w:t>Obrazovanje (šifre 091+092+093+094+095+096+097+098)</w:t>
            </w:r>
          </w:p>
        </w:tc>
        <w:tc>
          <w:tcPr>
            <w:tcW w:w="700" w:type="dxa"/>
            <w:tcMar>
              <w:top w:w="0" w:type="dxa"/>
              <w:bottom w:w="0" w:type="dxa"/>
            </w:tcMar>
            <w:vAlign w:val="center"/>
          </w:tcPr>
          <w:p w:rsidR="00EF666D" w:rsidRDefault="001E7EE6">
            <w:pPr>
              <w:keepNext/>
              <w:keepLines/>
              <w:spacing w:after="0" w:line="240" w:lineRule="auto"/>
            </w:pPr>
            <w:r>
              <w:rPr>
                <w:sz w:val="18"/>
              </w:rPr>
              <w:t>09</w:t>
            </w:r>
          </w:p>
        </w:tc>
        <w:tc>
          <w:tcPr>
            <w:tcW w:w="1860" w:type="dxa"/>
            <w:tcMar>
              <w:top w:w="0" w:type="dxa"/>
              <w:bottom w:w="0" w:type="dxa"/>
            </w:tcMar>
            <w:vAlign w:val="center"/>
          </w:tcPr>
          <w:p w:rsidR="00EF666D" w:rsidRDefault="001E7EE6">
            <w:pPr>
              <w:keepNext/>
              <w:keepLines/>
              <w:spacing w:after="0" w:line="240" w:lineRule="auto"/>
              <w:jc w:val="right"/>
            </w:pPr>
            <w:r>
              <w:rPr>
                <w:sz w:val="18"/>
              </w:rPr>
              <w:t>2.490.772,45</w:t>
            </w:r>
          </w:p>
        </w:tc>
        <w:tc>
          <w:tcPr>
            <w:tcW w:w="1860" w:type="dxa"/>
            <w:tcMar>
              <w:top w:w="0" w:type="dxa"/>
              <w:bottom w:w="0" w:type="dxa"/>
            </w:tcMar>
            <w:vAlign w:val="center"/>
          </w:tcPr>
          <w:p w:rsidR="00EF666D" w:rsidRDefault="001E7EE6">
            <w:pPr>
              <w:keepNext/>
              <w:keepLines/>
              <w:spacing w:after="0" w:line="240" w:lineRule="auto"/>
              <w:jc w:val="right"/>
            </w:pPr>
            <w:r>
              <w:rPr>
                <w:sz w:val="18"/>
              </w:rPr>
              <w:t>3.000.071,75</w:t>
            </w:r>
          </w:p>
        </w:tc>
        <w:tc>
          <w:tcPr>
            <w:tcW w:w="700" w:type="dxa"/>
            <w:tcMar>
              <w:top w:w="0" w:type="dxa"/>
              <w:bottom w:w="0" w:type="dxa"/>
            </w:tcMar>
            <w:vAlign w:val="center"/>
          </w:tcPr>
          <w:p w:rsidR="00EF666D" w:rsidRDefault="001E7EE6">
            <w:pPr>
              <w:keepNext/>
              <w:keepLines/>
              <w:spacing w:after="0" w:line="240" w:lineRule="auto"/>
              <w:jc w:val="right"/>
            </w:pPr>
            <w:r>
              <w:rPr>
                <w:sz w:val="18"/>
              </w:rPr>
              <w:t>120,4</w:t>
            </w:r>
          </w:p>
        </w:tc>
      </w:tr>
    </w:tbl>
    <w:p w:rsidR="00EF666D" w:rsidRDefault="00EF666D">
      <w:pPr>
        <w:spacing w:after="0"/>
      </w:pPr>
    </w:p>
    <w:p w:rsidR="00EF666D" w:rsidRDefault="001E7EE6">
      <w:pPr>
        <w:jc w:val="both"/>
      </w:pPr>
      <w:r>
        <w:t>Funkcijska klasifikacija sadrži rashode razvrstane prema njihovoj namjeni. Prema funkcijskoj klasifikaciji razvrstavaju se rashodi poslovanja razreda 3 i rashodi za nabavu nefinancijske imovine razreda 4. Šifra 09 Obrazovanje - ostvarenje rashoda u tekućoj</w:t>
      </w:r>
      <w:r>
        <w:t xml:space="preserve"> godini 20,4% veće je </w:t>
      </w:r>
      <w:r>
        <w:lastRenderedPageBreak/>
        <w:t>nego prethode godine i iznosi ukupno 3.000.071,75 EUR, a iz izvještaja je moguće vidjeti da su promjene evidentirane na:</w:t>
      </w:r>
    </w:p>
    <w:p w:rsidR="00EF666D" w:rsidRDefault="001E7EE6">
      <w:pPr>
        <w:pStyle w:val="Odlomakpopisa"/>
        <w:numPr>
          <w:ilvl w:val="0"/>
          <w:numId w:val="1"/>
        </w:numPr>
      </w:pPr>
      <w:r>
        <w:t>0912 Osnovno obrazovanje u iznosu od 2.766.026,21 EUR</w:t>
      </w:r>
    </w:p>
    <w:p w:rsidR="00EF666D" w:rsidRDefault="001E7EE6">
      <w:pPr>
        <w:pStyle w:val="Odlomakpopisa"/>
        <w:numPr>
          <w:ilvl w:val="0"/>
          <w:numId w:val="1"/>
        </w:numPr>
      </w:pPr>
      <w:r>
        <w:t>096 Dodatne usluge u obrazovanju u iznosu od 234.045,54 EUR</w:t>
      </w:r>
    </w:p>
    <w:p w:rsidR="00EF666D" w:rsidRDefault="001E7EE6">
      <w:pPr>
        <w:jc w:val="both"/>
      </w:pPr>
      <w:r>
        <w:t>Rashode za dodatne usluge u obrazovanju čine troškovi prehrane i prijevoza učenika koje sufinanciraju roditelji. Povećanje ovih rashoda u odnosu na prethodno razdoblje rezultat je većeg broja učenika u grupama produženog boravka te povećanog intenziteta t</w:t>
      </w:r>
      <w:r>
        <w:t xml:space="preserve">erenske nastave i </w:t>
      </w:r>
      <w:proofErr w:type="spellStart"/>
      <w:r>
        <w:t>izvanučioničkih</w:t>
      </w:r>
      <w:proofErr w:type="spellEnd"/>
      <w:r>
        <w:t xml:space="preserve"> aktivnosti (posjeti kinima, kazalištima i sl.).</w:t>
      </w:r>
    </w:p>
    <w:p w:rsidR="00EF666D" w:rsidRDefault="001E7EE6">
      <w:r>
        <w:t> </w:t>
      </w:r>
    </w:p>
    <w:p w:rsidR="00EF666D" w:rsidRDefault="00EF666D"/>
    <w:p w:rsidR="00EF666D" w:rsidRDefault="001E7EE6">
      <w:pPr>
        <w:keepNext/>
        <w:spacing w:line="240" w:lineRule="auto"/>
        <w:jc w:val="center"/>
      </w:pPr>
      <w:r>
        <w:rPr>
          <w:b/>
          <w:sz w:val="28"/>
        </w:rPr>
        <w:t>Promjene u vrijednosti i obujmu imovine i obveza</w:t>
      </w:r>
    </w:p>
    <w:p w:rsidR="00EF666D" w:rsidRDefault="001E7EE6">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sz w:val="18"/>
              </w:rPr>
              <w:t xml:space="preserve">Proizvedena dugotrajna </w:t>
            </w:r>
            <w:r>
              <w:rPr>
                <w:sz w:val="18"/>
              </w:rPr>
              <w:t>imovina</w:t>
            </w:r>
          </w:p>
        </w:tc>
        <w:tc>
          <w:tcPr>
            <w:tcW w:w="700" w:type="dxa"/>
            <w:tcMar>
              <w:top w:w="0" w:type="dxa"/>
              <w:bottom w:w="0" w:type="dxa"/>
            </w:tcMar>
            <w:vAlign w:val="center"/>
          </w:tcPr>
          <w:p w:rsidR="00EF666D" w:rsidRDefault="001E7EE6">
            <w:pPr>
              <w:keepNext/>
              <w:keepLines/>
              <w:spacing w:after="0" w:line="240" w:lineRule="auto"/>
            </w:pPr>
            <w:r>
              <w:rPr>
                <w:sz w:val="18"/>
              </w:rPr>
              <w:t>P003</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1860" w:type="dxa"/>
            <w:tcMar>
              <w:top w:w="0" w:type="dxa"/>
              <w:bottom w:w="0" w:type="dxa"/>
            </w:tcMar>
            <w:vAlign w:val="center"/>
          </w:tcPr>
          <w:p w:rsidR="00EF666D" w:rsidRDefault="001E7EE6">
            <w:pPr>
              <w:keepNext/>
              <w:keepLines/>
              <w:spacing w:after="0" w:line="240" w:lineRule="auto"/>
              <w:jc w:val="right"/>
            </w:pPr>
            <w:r>
              <w:rPr>
                <w:sz w:val="18"/>
              </w:rPr>
              <w:t>43.169,87</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Prema Pravilniku o financijskom izvještavanju, u Bilješkama uz Izvještaj o promjenama u vrijednosti i obujmu imovine i obveza objašnjavaju se značajnije promjene u vrijednosti i obujmu imovine i obveza. Smanjenje vrijednosti imovine evidentirano je na stav</w:t>
      </w:r>
      <w:r>
        <w:t>ci Proizvedene dugotrajne imovine u iznosu od 43.169,87 EUR radi provedenog ispravka vrijednosti dugotrajne nefinancijske imovine koje se prema novom Pravilniku provodi preko podskupine 915.</w:t>
      </w:r>
    </w:p>
    <w:p w:rsidR="00EF666D" w:rsidRDefault="00EF666D"/>
    <w:p w:rsidR="00EF666D" w:rsidRDefault="001E7EE6">
      <w:pPr>
        <w:keepNext/>
        <w:spacing w:line="240" w:lineRule="auto"/>
        <w:jc w:val="center"/>
      </w:pPr>
      <w:r>
        <w:rPr>
          <w:b/>
          <w:sz w:val="28"/>
        </w:rPr>
        <w:t>Izvještaj o obvezama</w:t>
      </w:r>
    </w:p>
    <w:p w:rsidR="00EF666D" w:rsidRDefault="001E7EE6">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EF666D" w:rsidRDefault="001E7EE6">
            <w:pPr>
              <w:keepNext/>
              <w:keepLines/>
              <w:spacing w:after="0" w:line="240" w:lineRule="auto"/>
            </w:pPr>
            <w:r>
              <w:rPr>
                <w:sz w:val="18"/>
              </w:rPr>
              <w:t>V001</w:t>
            </w:r>
          </w:p>
        </w:tc>
        <w:tc>
          <w:tcPr>
            <w:tcW w:w="1860" w:type="dxa"/>
            <w:tcMar>
              <w:top w:w="0" w:type="dxa"/>
              <w:bottom w:w="0" w:type="dxa"/>
            </w:tcMar>
            <w:vAlign w:val="center"/>
          </w:tcPr>
          <w:p w:rsidR="00EF666D" w:rsidRDefault="001E7EE6">
            <w:pPr>
              <w:keepNext/>
              <w:keepLines/>
              <w:spacing w:after="0" w:line="240" w:lineRule="auto"/>
              <w:jc w:val="right"/>
            </w:pPr>
            <w:r>
              <w:rPr>
                <w:sz w:val="18"/>
              </w:rPr>
              <w:t>230.450,77</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Bilješke uz obrazac OBVEZE značajne su za donošenje poslovnih odluka u svezi osiguranja novčanih sredstava za podmirenje obveza, nastanka novih obveza za čije podmirenje nema dovoljno sredstava ili se dospjele obveze stalno povećavaju, a ukupno plaćene obv</w:t>
      </w:r>
      <w:r>
        <w:t>eze tijekom proračunske godine smanjuju. Stanje obveza 1. siječnja 2025. godine iznosi 230.450,77 EUR i odnosi se na obveze za plaće i materijalne rashode 2024. godine. Sve obveze su podmirene u izvještajnom razdoblju.</w:t>
      </w:r>
    </w:p>
    <w:p w:rsidR="00EF666D" w:rsidRDefault="00EF666D"/>
    <w:p w:rsidR="00EF666D" w:rsidRDefault="001E7EE6">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w:t>
            </w:r>
            <w:r>
              <w:rPr>
                <w:b/>
                <w:sz w:val="18"/>
              </w:rPr>
              <w:t>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EF666D" w:rsidRDefault="001E7EE6">
            <w:pPr>
              <w:keepNext/>
              <w:keepLines/>
              <w:spacing w:after="0" w:line="240" w:lineRule="auto"/>
            </w:pPr>
            <w:r>
              <w:rPr>
                <w:sz w:val="18"/>
              </w:rPr>
              <w:t>V006</w:t>
            </w:r>
          </w:p>
        </w:tc>
        <w:tc>
          <w:tcPr>
            <w:tcW w:w="1860" w:type="dxa"/>
            <w:tcMar>
              <w:top w:w="0" w:type="dxa"/>
              <w:bottom w:w="0" w:type="dxa"/>
            </w:tcMar>
            <w:vAlign w:val="center"/>
          </w:tcPr>
          <w:p w:rsidR="00EF666D" w:rsidRDefault="001E7EE6">
            <w:pPr>
              <w:keepNext/>
              <w:keepLines/>
              <w:spacing w:after="0" w:line="240" w:lineRule="auto"/>
              <w:jc w:val="right"/>
            </w:pPr>
            <w:r>
              <w:rPr>
                <w:sz w:val="18"/>
              </w:rPr>
              <w:t>232.941,28</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Usporedbom Šifre V002 povećanje obveza u izvještajnom razdoblju i V004 podmirene obveza u izvještajnom razdoblju dobiva se informacija o mogućnosti obveznika da tijekom proračunske godine podmiri obveze barem u istom iznosu koliko su i nastale, kako je pre</w:t>
      </w:r>
      <w:r>
        <w:t>dviđeno prilikom izrade financijskog plana. Više nastale obveze negoli su podmirene rezultiraju ostvarivanjem manjka prihoda što nije namjera obveznika proračunskog računovodstva. Analizom obveza utvrđeno je da je proračunski korisnik tijekom godine podmir</w:t>
      </w:r>
      <w:r>
        <w:t>io obveze u iznosu koji je za 2.490,51 EUR manji od nastalih rashoda. Navedena razlika prvenstveno je rezultat rasta rashoda za zaposlene, čije su obveze za prosinac 2025. godine iznosile 202.046,24 EUR (u odnosu na 183.450,60 EUR u prosincu 2024. godine),</w:t>
      </w:r>
      <w:r>
        <w:t xml:space="preserve"> te činjenice da su sve dospjele obveze za koje su postojali uvjeti plaćanja u 2025. godini uredno podmirene. Stanje obveza na kraju izvještajnog razdoblja odnosi se na obveze za plaće, materijalne i financijske rashode 2025. godine, prijevoz učenika, jamč</w:t>
      </w:r>
      <w:r>
        <w:t>evine, obveze za predujmove i obveze za povrat proračunskih korisnika u proračun.</w:t>
      </w:r>
    </w:p>
    <w:p w:rsidR="00EF666D" w:rsidRDefault="00EF666D"/>
    <w:p w:rsidR="00EF666D" w:rsidRDefault="001E7EE6">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66D">
        <w:tblPrEx>
          <w:tblCellMar>
            <w:top w:w="0" w:type="dxa"/>
            <w:bottom w:w="0" w:type="dxa"/>
          </w:tblCellMar>
        </w:tblPrEx>
        <w:trPr>
          <w:cantSplit/>
        </w:trPr>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F666D" w:rsidRDefault="001E7EE6">
            <w:pPr>
              <w:keepNext/>
              <w:keepLines/>
              <w:spacing w:after="0" w:line="240" w:lineRule="auto"/>
              <w:jc w:val="center"/>
            </w:pPr>
            <w:r>
              <w:rPr>
                <w:b/>
                <w:sz w:val="18"/>
              </w:rPr>
              <w:t>Indeks (%)</w:t>
            </w:r>
          </w:p>
        </w:tc>
      </w:tr>
      <w:tr w:rsidR="00EF666D">
        <w:tblPrEx>
          <w:tblCellMar>
            <w:top w:w="0" w:type="dxa"/>
            <w:bottom w:w="0" w:type="dxa"/>
          </w:tblCellMar>
        </w:tblPrEx>
        <w:trPr>
          <w:cantSplit/>
          <w:trHeight w:val="560"/>
        </w:trPr>
        <w:tc>
          <w:tcPr>
            <w:tcW w:w="700" w:type="dxa"/>
            <w:tcMar>
              <w:top w:w="0" w:type="dxa"/>
              <w:bottom w:w="0" w:type="dxa"/>
            </w:tcMar>
            <w:vAlign w:val="center"/>
          </w:tcPr>
          <w:p w:rsidR="00EF666D" w:rsidRDefault="00EF666D">
            <w:pPr>
              <w:keepNext/>
              <w:keepLines/>
              <w:spacing w:after="0" w:line="240" w:lineRule="auto"/>
            </w:pPr>
          </w:p>
        </w:tc>
        <w:tc>
          <w:tcPr>
            <w:tcW w:w="3180" w:type="dxa"/>
            <w:tcMar>
              <w:top w:w="0" w:type="dxa"/>
              <w:bottom w:w="0" w:type="dxa"/>
            </w:tcMar>
            <w:vAlign w:val="center"/>
          </w:tcPr>
          <w:p w:rsidR="00EF666D" w:rsidRDefault="001E7EE6">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EF666D" w:rsidRDefault="001E7EE6">
            <w:pPr>
              <w:keepNext/>
              <w:keepLines/>
              <w:spacing w:after="0" w:line="240" w:lineRule="auto"/>
            </w:pPr>
            <w:r>
              <w:rPr>
                <w:sz w:val="18"/>
              </w:rPr>
              <w:t>V007</w:t>
            </w:r>
          </w:p>
        </w:tc>
        <w:tc>
          <w:tcPr>
            <w:tcW w:w="1860" w:type="dxa"/>
            <w:tcMar>
              <w:top w:w="0" w:type="dxa"/>
              <w:bottom w:w="0" w:type="dxa"/>
            </w:tcMar>
            <w:vAlign w:val="center"/>
          </w:tcPr>
          <w:p w:rsidR="00EF666D" w:rsidRDefault="001E7EE6">
            <w:pPr>
              <w:keepNext/>
              <w:keepLines/>
              <w:spacing w:after="0" w:line="240" w:lineRule="auto"/>
              <w:jc w:val="right"/>
            </w:pPr>
            <w:r>
              <w:rPr>
                <w:sz w:val="18"/>
              </w:rPr>
              <w:t>0,00</w:t>
            </w:r>
          </w:p>
        </w:tc>
        <w:tc>
          <w:tcPr>
            <w:tcW w:w="700" w:type="dxa"/>
            <w:tcMar>
              <w:top w:w="0" w:type="dxa"/>
              <w:bottom w:w="0" w:type="dxa"/>
            </w:tcMar>
            <w:vAlign w:val="center"/>
          </w:tcPr>
          <w:p w:rsidR="00EF666D" w:rsidRDefault="001E7EE6">
            <w:pPr>
              <w:keepNext/>
              <w:keepLines/>
              <w:spacing w:after="0" w:line="240" w:lineRule="auto"/>
              <w:jc w:val="right"/>
            </w:pPr>
            <w:r>
              <w:rPr>
                <w:sz w:val="18"/>
              </w:rPr>
              <w:t>-</w:t>
            </w:r>
          </w:p>
        </w:tc>
      </w:tr>
    </w:tbl>
    <w:p w:rsidR="00EF666D" w:rsidRDefault="00EF666D">
      <w:pPr>
        <w:spacing w:after="0"/>
      </w:pPr>
    </w:p>
    <w:p w:rsidR="00EF666D" w:rsidRDefault="001E7EE6">
      <w:pPr>
        <w:jc w:val="both"/>
      </w:pPr>
      <w:r>
        <w:t>Škola na dan 31. prosinca 2025. godine nema dospjelih obveza.</w:t>
      </w:r>
    </w:p>
    <w:p w:rsidR="00EF666D" w:rsidRDefault="00EF666D"/>
    <w:p w:rsidR="00EF666D" w:rsidRDefault="001E7EE6">
      <w:pPr>
        <w:keepNext/>
        <w:spacing w:line="240" w:lineRule="auto"/>
        <w:jc w:val="center"/>
      </w:pPr>
      <w:r>
        <w:rPr>
          <w:sz w:val="28"/>
        </w:rPr>
        <w:t>Bilješka 44.</w:t>
      </w:r>
    </w:p>
    <w:p w:rsidR="00EF666D" w:rsidRDefault="001E7EE6">
      <w:pPr>
        <w:spacing w:line="240" w:lineRule="auto"/>
        <w:jc w:val="both"/>
      </w:pPr>
      <w:r>
        <w:rPr>
          <w:b/>
        </w:rPr>
        <w:t>EU izvještaj</w:t>
      </w:r>
    </w:p>
    <w:p w:rsidR="00EF666D" w:rsidRDefault="001E7EE6">
      <w:pPr>
        <w:jc w:val="both"/>
      </w:pPr>
      <w:r>
        <w:t>Rashodi za aktivnost 'Sufinanciranje rada pomoćnika u nastavi' u 2025. godini izvršeni su u ukupnom iznosu od 156.026,46 EUR. Navedeni rashodi financirani su iz dva izvora: putem nacionalnog sufinanciranja u iznosu od 125.936,49 EUR te iz sredstava Europsk</w:t>
      </w:r>
      <w:r>
        <w:t>og socijalnog fonda plus (ESF+) u iznosu od 30.089,97 EUR. Povećanje rashoda na ovoj aktivnosti prati i porast broja angažiranih pomoćnika, kojih je u tekućoj školskoj godini 11, dok ih je u prethodnoj bilo 10.</w:t>
      </w:r>
    </w:p>
    <w:p w:rsidR="00EF666D" w:rsidRDefault="001E7EE6">
      <w:pPr>
        <w:jc w:val="both"/>
      </w:pPr>
      <w:r>
        <w:t>Istovremeno, prihodi namijenjeni ovoj svrsi p</w:t>
      </w:r>
      <w:r>
        <w:t>riznati su u ukupnom iznosu od 143.754,49 EUR, od čega se 115.670,47 EUR odnosi na nacionalna sredstva, a 28.084,02 EUR na sredstva Europskog socijalnog fonda plus.</w:t>
      </w:r>
    </w:p>
    <w:p w:rsidR="00EF666D" w:rsidRDefault="00EF666D"/>
    <w:sectPr w:rsidR="00EF6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26BC"/>
    <w:multiLevelType w:val="hybridMultilevel"/>
    <w:tmpl w:val="780A92CA"/>
    <w:name w:val="disc"/>
    <w:lvl w:ilvl="0" w:tplc="BBA067E6">
      <w:start w:val="1"/>
      <w:numFmt w:val="bullet"/>
      <w:lvlText w:val="•"/>
      <w:lvlJc w:val="left"/>
      <w:pPr>
        <w:ind w:left="720" w:hanging="360"/>
      </w:pPr>
    </w:lvl>
    <w:lvl w:ilvl="1" w:tplc="4530B430">
      <w:start w:val="1"/>
      <w:numFmt w:val="bullet"/>
      <w:lvlText w:val="•"/>
      <w:lvlJc w:val="left"/>
      <w:pPr>
        <w:ind w:left="1440" w:hanging="360"/>
      </w:pPr>
    </w:lvl>
    <w:lvl w:ilvl="2" w:tplc="461AD6C0">
      <w:start w:val="1"/>
      <w:numFmt w:val="bullet"/>
      <w:lvlText w:val="•"/>
      <w:lvlJc w:val="left"/>
      <w:pPr>
        <w:ind w:left="2160" w:hanging="360"/>
      </w:pPr>
    </w:lvl>
    <w:lvl w:ilvl="3" w:tplc="3D2870AE">
      <w:start w:val="1"/>
      <w:numFmt w:val="bullet"/>
      <w:lvlText w:val="•"/>
      <w:lvlJc w:val="left"/>
      <w:pPr>
        <w:ind w:left="2880" w:hanging="360"/>
      </w:pPr>
    </w:lvl>
    <w:lvl w:ilvl="4" w:tplc="634830FA">
      <w:start w:val="1"/>
      <w:numFmt w:val="bullet"/>
      <w:lvlText w:val="•"/>
      <w:lvlJc w:val="left"/>
      <w:pPr>
        <w:ind w:left="3600" w:hanging="360"/>
      </w:pPr>
    </w:lvl>
    <w:lvl w:ilvl="5" w:tplc="6C9E8C2C">
      <w:start w:val="1"/>
      <w:numFmt w:val="bullet"/>
      <w:lvlText w:val="•"/>
      <w:lvlJc w:val="left"/>
      <w:pPr>
        <w:ind w:left="4320" w:hanging="360"/>
      </w:pPr>
    </w:lvl>
    <w:lvl w:ilvl="6" w:tplc="0374FC88">
      <w:start w:val="1"/>
      <w:numFmt w:val="bullet"/>
      <w:lvlText w:val="•"/>
      <w:lvlJc w:val="left"/>
      <w:pPr>
        <w:ind w:left="5040" w:hanging="360"/>
      </w:pPr>
    </w:lvl>
    <w:lvl w:ilvl="7" w:tplc="B09000D8">
      <w:start w:val="1"/>
      <w:numFmt w:val="bullet"/>
      <w:lvlText w:val="•"/>
      <w:lvlJc w:val="left"/>
      <w:pPr>
        <w:ind w:left="5760" w:hanging="360"/>
      </w:pPr>
    </w:lvl>
    <w:lvl w:ilvl="8" w:tplc="C64AB9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6D"/>
    <w:rsid w:val="001E7EE6"/>
    <w:rsid w:val="00EF66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AAF15-88B7-4A72-898F-8F305BE7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4481</Words>
  <Characters>25543</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Lovro Brozović</cp:lastModifiedBy>
  <cp:revision>2</cp:revision>
  <dcterms:created xsi:type="dcterms:W3CDTF">2026-01-31T10:50:00Z</dcterms:created>
  <dcterms:modified xsi:type="dcterms:W3CDTF">2026-01-31T10:50:00Z</dcterms:modified>
</cp:coreProperties>
</file>