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31CEE">
      <w:pPr>
        <w:rPr>
          <w:rFonts w:ascii="Arial" w:hAnsi="Arial" w:cs="Arial"/>
          <w:b/>
          <w:sz w:val="24"/>
          <w:szCs w:val="24"/>
        </w:rPr>
      </w:pPr>
      <w:r>
        <w:rPr>
          <w:rFonts w:ascii="Arial" w:hAnsi="Arial" w:cs="Arial"/>
          <w:b/>
          <w:sz w:val="24"/>
          <w:szCs w:val="24"/>
        </w:rPr>
        <w:t>Osnovna škola „Dr. Andrija Mohorovičić“ Matulji</w:t>
      </w:r>
    </w:p>
    <w:p w14:paraId="7FA5BE5E">
      <w:pPr>
        <w:rPr>
          <w:rFonts w:hint="default" w:ascii="Arial" w:hAnsi="Arial" w:cs="Arial"/>
          <w:bCs/>
          <w:sz w:val="24"/>
          <w:szCs w:val="24"/>
          <w:lang w:val="hr-HR"/>
        </w:rPr>
      </w:pPr>
      <w:r>
        <w:rPr>
          <w:rFonts w:ascii="Arial" w:hAnsi="Arial" w:cs="Arial"/>
          <w:bCs/>
          <w:sz w:val="24"/>
          <w:szCs w:val="24"/>
        </w:rPr>
        <w:t>Klasa:</w:t>
      </w:r>
      <w:r>
        <w:rPr>
          <w:rFonts w:hint="default" w:ascii="Arial" w:hAnsi="Arial" w:cs="Arial"/>
          <w:bCs/>
          <w:sz w:val="24"/>
          <w:szCs w:val="24"/>
          <w:lang w:val="hr-HR"/>
        </w:rPr>
        <w:t>400-05/25-01/1</w:t>
      </w:r>
    </w:p>
    <w:p w14:paraId="73EABE77">
      <w:pPr>
        <w:rPr>
          <w:rFonts w:hint="default" w:ascii="Arial" w:hAnsi="Arial" w:cs="Arial"/>
          <w:bCs/>
          <w:sz w:val="24"/>
          <w:szCs w:val="24"/>
          <w:lang w:val="hr-HR"/>
        </w:rPr>
      </w:pPr>
      <w:r>
        <w:rPr>
          <w:rFonts w:ascii="Arial" w:hAnsi="Arial" w:cs="Arial"/>
          <w:bCs/>
          <w:sz w:val="24"/>
          <w:szCs w:val="24"/>
        </w:rPr>
        <w:t>Urbroj:</w:t>
      </w:r>
      <w:r>
        <w:rPr>
          <w:rFonts w:hint="default" w:ascii="Arial" w:hAnsi="Arial" w:cs="Arial"/>
          <w:bCs/>
          <w:sz w:val="24"/>
          <w:szCs w:val="24"/>
          <w:lang w:val="hr-HR"/>
        </w:rPr>
        <w:t>2156-25-5-1</w:t>
      </w:r>
      <w:bookmarkStart w:id="0" w:name="_GoBack"/>
      <w:bookmarkEnd w:id="0"/>
    </w:p>
    <w:p w14:paraId="3D34C0CF">
      <w:pPr>
        <w:rPr>
          <w:rFonts w:ascii="Arial" w:hAnsi="Arial" w:cs="Arial"/>
          <w:bCs/>
          <w:sz w:val="24"/>
          <w:szCs w:val="24"/>
        </w:rPr>
      </w:pPr>
      <w:r>
        <w:rPr>
          <w:rFonts w:ascii="Arial" w:hAnsi="Arial" w:cs="Arial"/>
          <w:bCs/>
          <w:sz w:val="24"/>
          <w:szCs w:val="24"/>
        </w:rPr>
        <w:t>Matulji 2</w:t>
      </w:r>
      <w:r>
        <w:rPr>
          <w:rFonts w:hint="default" w:ascii="Arial" w:hAnsi="Arial" w:cs="Arial"/>
          <w:bCs/>
          <w:sz w:val="24"/>
          <w:szCs w:val="24"/>
          <w:lang w:val="hr-HR"/>
        </w:rPr>
        <w:t>4</w:t>
      </w:r>
      <w:r>
        <w:rPr>
          <w:rFonts w:ascii="Arial" w:hAnsi="Arial" w:cs="Arial"/>
          <w:bCs/>
          <w:sz w:val="24"/>
          <w:szCs w:val="24"/>
        </w:rPr>
        <w:t>.03.2025.</w:t>
      </w:r>
    </w:p>
    <w:p w14:paraId="0A7ED347">
      <w:pPr>
        <w:rPr>
          <w:rFonts w:ascii="Arial" w:hAnsi="Arial" w:cs="Arial"/>
          <w:sz w:val="24"/>
          <w:szCs w:val="24"/>
        </w:rPr>
      </w:pPr>
    </w:p>
    <w:p w14:paraId="08A82A4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OBRAZLOŽENJE OSTVARENJA PRIHODA I RASHODA U ODNOSU NA FINANCIJSKI PLAN OSNOVNE ŠKOLE „DR. ANDRIJA MOHOROVIČIĆ“ MATULJI  ZA  RAZDOBLJE 01.01. - 31.12. 2024. GODINE</w:t>
      </w:r>
    </w:p>
    <w:p w14:paraId="61E63C1C">
      <w:pPr>
        <w:spacing w:line="360" w:lineRule="auto"/>
        <w:jc w:val="both"/>
        <w:rPr>
          <w:rFonts w:ascii="Times New Roman" w:hAnsi="Times New Roman" w:cs="Times New Roman"/>
          <w:sz w:val="24"/>
          <w:szCs w:val="24"/>
        </w:rPr>
      </w:pPr>
      <w:r>
        <w:rPr>
          <w:rFonts w:ascii="Times New Roman" w:hAnsi="Times New Roman" w:cs="Times New Roman"/>
          <w:sz w:val="24"/>
          <w:szCs w:val="24"/>
        </w:rPr>
        <w:t>Obveza izrade i usvajanja polugodišnjih i godišnjih izvještaja o izvršenju financijskog plana proračunskog korisnika propisana je člancima 81.-86. novog Zakona o proračunu i Pravilnika o polugodišnjem i godišnjem izvještaju o izvršenju proračuna i financijskog plana NN 85/2023 .</w:t>
      </w:r>
    </w:p>
    <w:p w14:paraId="589CF5C2">
      <w:pPr>
        <w:spacing w:line="360" w:lineRule="auto"/>
        <w:jc w:val="both"/>
        <w:rPr>
          <w:rFonts w:ascii="Times New Roman" w:hAnsi="Times New Roman" w:cs="Times New Roman"/>
          <w:sz w:val="24"/>
          <w:szCs w:val="24"/>
        </w:rPr>
      </w:pPr>
      <w:r>
        <w:rPr>
          <w:rFonts w:ascii="Times New Roman" w:hAnsi="Times New Roman" w:cs="Times New Roman"/>
          <w:sz w:val="24"/>
          <w:szCs w:val="24"/>
        </w:rPr>
        <w:t>Prema člancima 81. st.1. ZOP-a, polugodišnji i godišnji izvještaj o izvršenju financijskog plana  proračunskog korisnika sadrže:</w:t>
      </w:r>
    </w:p>
    <w:p w14:paraId="188CE96C">
      <w:pPr>
        <w:pStyle w:val="8"/>
        <w:numPr>
          <w:ilvl w:val="0"/>
          <w:numId w:val="1"/>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Opći dio proračuna</w:t>
      </w:r>
    </w:p>
    <w:p w14:paraId="70E394D2">
      <w:pPr>
        <w:pStyle w:val="8"/>
        <w:numPr>
          <w:ilvl w:val="0"/>
          <w:numId w:val="1"/>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Posebni dio proračuna</w:t>
      </w:r>
    </w:p>
    <w:p w14:paraId="65D12C28">
      <w:pPr>
        <w:pStyle w:val="8"/>
        <w:numPr>
          <w:ilvl w:val="0"/>
          <w:numId w:val="1"/>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Obrazloženje ostvarenja prihoda i primitaka te realizacija rashoda i izdataka</w:t>
      </w:r>
    </w:p>
    <w:p w14:paraId="2497DBB7">
      <w:pPr>
        <w:pStyle w:val="8"/>
        <w:numPr>
          <w:ilvl w:val="0"/>
          <w:numId w:val="1"/>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Posebne izvještaje</w:t>
      </w:r>
    </w:p>
    <w:p w14:paraId="70D4C582">
      <w:pPr>
        <w:spacing w:line="360" w:lineRule="auto"/>
        <w:jc w:val="both"/>
        <w:rPr>
          <w:rFonts w:ascii="Times New Roman" w:hAnsi="Times New Roman" w:cs="Times New Roman"/>
          <w:sz w:val="24"/>
          <w:szCs w:val="24"/>
        </w:rPr>
      </w:pPr>
      <w:r>
        <w:rPr>
          <w:rFonts w:ascii="Times New Roman" w:hAnsi="Times New Roman" w:cs="Times New Roman"/>
          <w:sz w:val="24"/>
          <w:szCs w:val="24"/>
        </w:rPr>
        <w:t>Opći dio polugodišnjeg i godišnjeg izvještaja o izvršenju financijskog plana proračunskog korisnika sadrži:</w:t>
      </w:r>
    </w:p>
    <w:p w14:paraId="2DA9F7C0">
      <w:pPr>
        <w:pStyle w:val="8"/>
        <w:numPr>
          <w:ilvl w:val="0"/>
          <w:numId w:val="2"/>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Sažetak Računa prihoda i rashoda i Račun financiranja</w:t>
      </w:r>
    </w:p>
    <w:p w14:paraId="6C924D66">
      <w:pPr>
        <w:pStyle w:val="8"/>
        <w:numPr>
          <w:ilvl w:val="0"/>
          <w:numId w:val="2"/>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Račun prihoda i rashoda i Račun financiranja</w:t>
      </w:r>
    </w:p>
    <w:p w14:paraId="43B03B4A">
      <w:pPr>
        <w:pStyle w:val="8"/>
        <w:numPr>
          <w:ilvl w:val="0"/>
          <w:numId w:val="2"/>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Preneseni višak ili preneseni manjak prihoda nad rashodima</w:t>
      </w:r>
    </w:p>
    <w:p w14:paraId="5ADF5BD3">
      <w:pPr>
        <w:spacing w:line="360" w:lineRule="auto"/>
        <w:jc w:val="both"/>
        <w:rPr>
          <w:rFonts w:ascii="Times New Roman" w:hAnsi="Times New Roman" w:cs="Times New Roman"/>
          <w:sz w:val="24"/>
          <w:szCs w:val="24"/>
        </w:rPr>
      </w:pPr>
      <w:r>
        <w:rPr>
          <w:rFonts w:ascii="Times New Roman" w:hAnsi="Times New Roman" w:cs="Times New Roman"/>
          <w:sz w:val="24"/>
          <w:szCs w:val="24"/>
        </w:rPr>
        <w:t>Račun prihoda i rashoda Osnovne škole „Dr. Andrija Mohorovičić“ Matulji sastoji se od prihoda i rashoda iskazanih prema ekonomskoj klasifikaciji, prihodi i rashodi po izvorima financiranja i rashodi iskazani prema funkcijskoj klasifikaciji.</w:t>
      </w:r>
    </w:p>
    <w:p w14:paraId="45D2949B">
      <w:pPr>
        <w:spacing w:line="360" w:lineRule="auto"/>
        <w:jc w:val="both"/>
        <w:rPr>
          <w:rFonts w:ascii="Times New Roman" w:hAnsi="Times New Roman" w:cs="Times New Roman"/>
          <w:sz w:val="24"/>
          <w:szCs w:val="24"/>
        </w:rPr>
      </w:pPr>
    </w:p>
    <w:p w14:paraId="79B7619C">
      <w:pPr>
        <w:spacing w:line="360" w:lineRule="auto"/>
        <w:jc w:val="both"/>
        <w:rPr>
          <w:rFonts w:ascii="Times New Roman" w:hAnsi="Times New Roman" w:cs="Times New Roman"/>
          <w:sz w:val="24"/>
          <w:szCs w:val="24"/>
        </w:rPr>
      </w:pPr>
    </w:p>
    <w:p w14:paraId="0329248D">
      <w:pPr>
        <w:pStyle w:val="8"/>
        <w:numPr>
          <w:ilvl w:val="0"/>
          <w:numId w:val="3"/>
        </w:num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t>OPĆI DIO PRORAČUNA</w:t>
      </w:r>
    </w:p>
    <w:p w14:paraId="5C6BD823">
      <w:pPr>
        <w:pStyle w:val="8"/>
        <w:numPr>
          <w:ilvl w:val="1"/>
          <w:numId w:val="3"/>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SAŽETAK OPĆEG DIJELA</w:t>
      </w:r>
    </w:p>
    <w:p w14:paraId="304FA949">
      <w:pPr>
        <w:spacing w:line="360" w:lineRule="auto"/>
        <w:jc w:val="both"/>
        <w:rPr>
          <w:rFonts w:ascii="Times New Roman" w:hAnsi="Times New Roman" w:cs="Times New Roman"/>
          <w:sz w:val="24"/>
          <w:szCs w:val="24"/>
        </w:rPr>
      </w:pPr>
      <w:r>
        <w:rPr>
          <w:rFonts w:ascii="Times New Roman" w:hAnsi="Times New Roman" w:cs="Times New Roman"/>
          <w:sz w:val="24"/>
          <w:szCs w:val="24"/>
        </w:rPr>
        <w:t>Iz sažetka Računa prihoda i rashoda vidljivo je da su u izvještajnom razdoblju ostvareni ukupni prihodi i primici u iznosu od 2.513.205,97 eura, te realizirani ukupni rashodi i izdaci u iznosu od 2.490.772,45 eura, rezultat izvještajnog razdoblja je višak prihoda u iznosu od 22.507,47 eura.  Preneseni rezultat poslovanja - manjak  iz 2023. godine  u 2024. godinu iznosi 12.526,12 eura, te je ukupni rezultat višak u iznosu od 9.981,35 eura.</w:t>
      </w:r>
    </w:p>
    <w:p w14:paraId="5FB02A6F">
      <w:pPr>
        <w:spacing w:line="360" w:lineRule="auto"/>
        <w:jc w:val="both"/>
        <w:rPr>
          <w:rFonts w:ascii="Times New Roman" w:hAnsi="Times New Roman" w:cs="Times New Roman"/>
          <w:sz w:val="24"/>
          <w:szCs w:val="24"/>
        </w:rPr>
      </w:pPr>
      <w:r>
        <w:rPr>
          <w:rFonts w:ascii="Times New Roman" w:hAnsi="Times New Roman" w:cs="Times New Roman"/>
          <w:sz w:val="24"/>
          <w:szCs w:val="24"/>
        </w:rPr>
        <w:t>Manjak prihoda u 2023. godini iznosio je 15.876,22 eura, tijekom 2024. godine došlo je do smanjenja rezultata iz 2023. godine budući da smo dobili odobrenje računa E kupi za udžbenike koje financira MZOM,  te smo korigirali rezultat iz 2023. godine.</w:t>
      </w:r>
    </w:p>
    <w:p w14:paraId="7B1E1594">
      <w:pPr>
        <w:spacing w:line="360" w:lineRule="auto"/>
        <w:jc w:val="both"/>
        <w:rPr>
          <w:rFonts w:ascii="Times New Roman" w:hAnsi="Times New Roman" w:cs="Times New Roman"/>
          <w:sz w:val="24"/>
          <w:szCs w:val="24"/>
        </w:rPr>
      </w:pPr>
      <w:r>
        <w:rPr>
          <w:rFonts w:ascii="Times New Roman" w:hAnsi="Times New Roman" w:cs="Times New Roman"/>
          <w:sz w:val="24"/>
          <w:szCs w:val="24"/>
        </w:rPr>
        <w:t>Uspoređujući tekuće podatke s podacima za  isto razdoblje prošle proračunske godine vidljivi su veći ovogodišnji ostvareni prihodi poslovanja, ali i veći ostvareni rashodi škole. Razlog tome su veći prihodi i rashodi za plaće (zaposlenici MZO, 6 zaposlenih u produženom boravku, 10 pomoćnika u nastavi), broj odjela je isti kao prošle školske godine.</w:t>
      </w:r>
    </w:p>
    <w:p w14:paraId="0B4DEF41">
      <w:pPr>
        <w:pStyle w:val="8"/>
        <w:numPr>
          <w:ilvl w:val="1"/>
          <w:numId w:val="3"/>
        </w:numPr>
        <w:spacing w:after="16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RAČUN PRIHODA I RASHODA PO EKONOMSKOJ KASIFIKACIJI  </w:t>
      </w:r>
    </w:p>
    <w:p w14:paraId="3D12026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Ukupni prihodi i rashodi izvještajnog razdoblja navedeni su u  Računu prihoda i rashoda, dok za Račun financiranja nema nikakvih podataka s obzirom da škola nije imala nikakve poslovne promjene za izvještajno razdoblje. </w:t>
      </w:r>
    </w:p>
    <w:p w14:paraId="7D7A68C2">
      <w:pPr>
        <w:spacing w:line="360" w:lineRule="auto"/>
        <w:jc w:val="both"/>
        <w:rPr>
          <w:rFonts w:ascii="Times New Roman" w:hAnsi="Times New Roman" w:cs="Times New Roman"/>
          <w:sz w:val="24"/>
          <w:szCs w:val="24"/>
        </w:rPr>
      </w:pPr>
      <w:r>
        <w:rPr>
          <w:rFonts w:ascii="Times New Roman" w:hAnsi="Times New Roman" w:cs="Times New Roman"/>
          <w:sz w:val="24"/>
          <w:szCs w:val="24"/>
        </w:rPr>
        <w:t>Podaci navedeni u Općem dijelu proračuna Škole su zbirni (obuhvaćaju sve prihode i rashode Škole).</w:t>
      </w:r>
    </w:p>
    <w:p w14:paraId="4CCC15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Detaljniji prikaz rashoda i izdataka (po korisnicima, glavama, aktivnostima) nalazi se u Posebnom dijelu proračuna te će biti također obrazloženi. </w:t>
      </w:r>
    </w:p>
    <w:p w14:paraId="4DF969A7">
      <w:pPr>
        <w:spacing w:line="360" w:lineRule="auto"/>
        <w:jc w:val="both"/>
        <w:rPr>
          <w:rFonts w:ascii="Times New Roman" w:hAnsi="Times New Roman" w:cs="Times New Roman"/>
          <w:sz w:val="24"/>
          <w:szCs w:val="24"/>
        </w:rPr>
      </w:pPr>
    </w:p>
    <w:p w14:paraId="535100FA">
      <w:pPr>
        <w:pStyle w:val="8"/>
        <w:numPr>
          <w:ilvl w:val="0"/>
          <w:numId w:val="4"/>
        </w:num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t>OBRAZLOŽENJE OSTVARENJA PRIHODA I PRIMITAKA, REALIZACIJA RASHODA I IZDATAKA</w:t>
      </w:r>
    </w:p>
    <w:p w14:paraId="659F5D52">
      <w:pPr>
        <w:spacing w:line="360" w:lineRule="auto"/>
        <w:jc w:val="both"/>
        <w:rPr>
          <w:rFonts w:ascii="Times New Roman" w:hAnsi="Times New Roman" w:cs="Times New Roman"/>
          <w:b/>
          <w:sz w:val="24"/>
          <w:szCs w:val="24"/>
        </w:rPr>
      </w:pPr>
      <w:r>
        <w:rPr>
          <w:rFonts w:ascii="Times New Roman" w:hAnsi="Times New Roman" w:cs="Times New Roman"/>
          <w:b/>
          <w:sz w:val="24"/>
          <w:szCs w:val="24"/>
        </w:rPr>
        <w:t>Prihodi i primici:</w:t>
      </w:r>
    </w:p>
    <w:p w14:paraId="2DCBFF36">
      <w:pPr>
        <w:spacing w:line="360" w:lineRule="auto"/>
        <w:jc w:val="both"/>
        <w:rPr>
          <w:rFonts w:ascii="Times New Roman" w:hAnsi="Times New Roman" w:cs="Times New Roman"/>
          <w:sz w:val="24"/>
          <w:szCs w:val="24"/>
        </w:rPr>
      </w:pPr>
      <w:r>
        <w:rPr>
          <w:rFonts w:ascii="Times New Roman" w:hAnsi="Times New Roman" w:cs="Times New Roman"/>
          <w:sz w:val="24"/>
          <w:szCs w:val="24"/>
        </w:rPr>
        <w:t>Ukupni prihodi proračuna  ostvareni su u izvještajnom razdoblju u iznosu od 2.513.205,97 eura   i čini 101,11 % ostvarenja godišnjeg plana.</w:t>
      </w:r>
    </w:p>
    <w:p w14:paraId="30592D9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Rekapitulacija prihoda po skupinama računa:</w:t>
      </w:r>
    </w:p>
    <w:p w14:paraId="060A8E17">
      <w:pPr>
        <w:spacing w:line="360" w:lineRule="auto"/>
        <w:jc w:val="both"/>
        <w:rPr>
          <w:rFonts w:ascii="Times New Roman" w:hAnsi="Times New Roman" w:cs="Times New Roman"/>
          <w:sz w:val="24"/>
          <w:szCs w:val="24"/>
        </w:rPr>
      </w:pPr>
    </w:p>
    <w:tbl>
      <w:tblPr>
        <w:tblStyle w:val="3"/>
        <w:tblpPr w:leftFromText="180" w:rightFromText="180" w:bottomFromText="160" w:vertAnchor="text" w:horzAnchor="page" w:tblpXSpec="center" w:tblpY="-6"/>
        <w:tblW w:w="9357" w:type="dxa"/>
        <w:tblInd w:w="0" w:type="dxa"/>
        <w:tblLayout w:type="autofit"/>
        <w:tblCellMar>
          <w:top w:w="0" w:type="dxa"/>
          <w:left w:w="108" w:type="dxa"/>
          <w:bottom w:w="0" w:type="dxa"/>
          <w:right w:w="108" w:type="dxa"/>
        </w:tblCellMar>
      </w:tblPr>
      <w:tblGrid>
        <w:gridCol w:w="999"/>
        <w:gridCol w:w="2909"/>
        <w:gridCol w:w="1426"/>
        <w:gridCol w:w="1491"/>
        <w:gridCol w:w="1380"/>
        <w:gridCol w:w="1134"/>
        <w:gridCol w:w="18"/>
      </w:tblGrid>
      <w:tr w14:paraId="0476DF53">
        <w:tblPrEx>
          <w:tblCellMar>
            <w:top w:w="0" w:type="dxa"/>
            <w:left w:w="108" w:type="dxa"/>
            <w:bottom w:w="0" w:type="dxa"/>
            <w:right w:w="108" w:type="dxa"/>
          </w:tblCellMar>
        </w:tblPrEx>
        <w:trPr>
          <w:trHeight w:val="1478" w:hRule="atLeast"/>
        </w:trPr>
        <w:tc>
          <w:tcPr>
            <w:tcW w:w="999" w:type="dxa"/>
            <w:tcBorders>
              <w:top w:val="single" w:color="auto" w:sz="4" w:space="0"/>
              <w:left w:val="single" w:color="auto" w:sz="4" w:space="0"/>
              <w:bottom w:val="single" w:color="auto" w:sz="4" w:space="0"/>
              <w:right w:val="single" w:color="auto" w:sz="4" w:space="0"/>
            </w:tcBorders>
            <w:shd w:val="clear" w:color="auto" w:fill="FBD4B4" w:themeFill="accent6" w:themeFillTint="66"/>
            <w:vAlign w:val="center"/>
          </w:tcPr>
          <w:p w14:paraId="5DF9C92B">
            <w:pPr>
              <w:spacing w:after="0" w:line="360" w:lineRule="auto"/>
              <w:jc w:val="center"/>
              <w:rPr>
                <w:rFonts w:ascii="Times New Roman" w:hAnsi="Times New Roman" w:eastAsia="Times New Roman" w:cs="Times New Roman"/>
                <w:b/>
                <w:bCs/>
                <w:color w:val="000000"/>
                <w:lang w:eastAsia="hr-HR"/>
              </w:rPr>
            </w:pPr>
            <w:r>
              <w:rPr>
                <w:rFonts w:ascii="Times New Roman" w:hAnsi="Times New Roman" w:eastAsia="Times New Roman" w:cs="Times New Roman"/>
                <w:b/>
                <w:bCs/>
                <w:color w:val="000000"/>
                <w:lang w:eastAsia="hr-HR"/>
              </w:rPr>
              <w:t>Skupina konta</w:t>
            </w:r>
          </w:p>
        </w:tc>
        <w:tc>
          <w:tcPr>
            <w:tcW w:w="2909" w:type="dxa"/>
            <w:tcBorders>
              <w:top w:val="single" w:color="auto" w:sz="4" w:space="0"/>
              <w:left w:val="nil"/>
              <w:bottom w:val="single" w:color="auto" w:sz="4" w:space="0"/>
              <w:right w:val="single" w:color="auto" w:sz="4" w:space="0"/>
            </w:tcBorders>
            <w:shd w:val="clear" w:color="auto" w:fill="FBD4B4" w:themeFill="accent6" w:themeFillTint="66"/>
            <w:vAlign w:val="center"/>
          </w:tcPr>
          <w:p w14:paraId="52A75508">
            <w:pPr>
              <w:spacing w:after="0" w:line="360" w:lineRule="auto"/>
              <w:jc w:val="center"/>
              <w:rPr>
                <w:rFonts w:ascii="Times New Roman" w:hAnsi="Times New Roman" w:eastAsia="Times New Roman" w:cs="Times New Roman"/>
                <w:b/>
                <w:bCs/>
                <w:color w:val="000000"/>
                <w:lang w:eastAsia="hr-HR"/>
              </w:rPr>
            </w:pPr>
            <w:r>
              <w:rPr>
                <w:rFonts w:ascii="Times New Roman" w:hAnsi="Times New Roman" w:eastAsia="Times New Roman" w:cs="Times New Roman"/>
                <w:b/>
                <w:bCs/>
                <w:color w:val="000000"/>
                <w:lang w:eastAsia="hr-HR"/>
              </w:rPr>
              <w:t>Naziv konta prihoda</w:t>
            </w:r>
          </w:p>
        </w:tc>
        <w:tc>
          <w:tcPr>
            <w:tcW w:w="1426" w:type="dxa"/>
            <w:tcBorders>
              <w:top w:val="single" w:color="auto" w:sz="4" w:space="0"/>
              <w:left w:val="nil"/>
              <w:bottom w:val="single" w:color="auto" w:sz="4" w:space="0"/>
              <w:right w:val="single" w:color="auto" w:sz="4" w:space="0"/>
            </w:tcBorders>
            <w:shd w:val="clear" w:color="auto" w:fill="FBD4B4" w:themeFill="accent6" w:themeFillTint="66"/>
            <w:vAlign w:val="center"/>
          </w:tcPr>
          <w:p w14:paraId="7875E8A6">
            <w:pPr>
              <w:spacing w:after="0" w:line="360" w:lineRule="auto"/>
              <w:jc w:val="center"/>
              <w:rPr>
                <w:rFonts w:ascii="Times New Roman" w:hAnsi="Times New Roman" w:eastAsia="Times New Roman" w:cs="Times New Roman"/>
                <w:b/>
                <w:bCs/>
                <w:color w:val="000000"/>
                <w:lang w:eastAsia="hr-HR"/>
              </w:rPr>
            </w:pPr>
            <w:r>
              <w:rPr>
                <w:rFonts w:ascii="Times New Roman" w:hAnsi="Times New Roman" w:eastAsia="Times New Roman" w:cs="Times New Roman"/>
                <w:b/>
                <w:bCs/>
                <w:color w:val="000000"/>
                <w:lang w:eastAsia="hr-HR"/>
              </w:rPr>
              <w:t>Izvršenje za izvještajno razdoblje prethodne godine</w:t>
            </w:r>
          </w:p>
        </w:tc>
        <w:tc>
          <w:tcPr>
            <w:tcW w:w="1491" w:type="dxa"/>
            <w:tcBorders>
              <w:top w:val="single" w:color="auto" w:sz="4" w:space="0"/>
              <w:left w:val="nil"/>
              <w:bottom w:val="single" w:color="auto" w:sz="4" w:space="0"/>
              <w:right w:val="single" w:color="auto" w:sz="4" w:space="0"/>
            </w:tcBorders>
            <w:shd w:val="clear" w:color="auto" w:fill="FBD4B4" w:themeFill="accent6" w:themeFillTint="66"/>
            <w:vAlign w:val="center"/>
          </w:tcPr>
          <w:p w14:paraId="5E6B12DA">
            <w:pPr>
              <w:spacing w:after="0" w:line="360" w:lineRule="auto"/>
              <w:jc w:val="center"/>
              <w:rPr>
                <w:rFonts w:ascii="Times New Roman" w:hAnsi="Times New Roman" w:eastAsia="Times New Roman" w:cs="Times New Roman"/>
                <w:b/>
                <w:bCs/>
                <w:color w:val="000000"/>
                <w:lang w:eastAsia="hr-HR"/>
              </w:rPr>
            </w:pPr>
            <w:r>
              <w:rPr>
                <w:rFonts w:ascii="Times New Roman" w:hAnsi="Times New Roman" w:eastAsia="Times New Roman" w:cs="Times New Roman"/>
                <w:b/>
                <w:bCs/>
                <w:color w:val="000000"/>
                <w:lang w:eastAsia="hr-HR"/>
              </w:rPr>
              <w:t>Izvorni plan ili rebalans</w:t>
            </w:r>
          </w:p>
        </w:tc>
        <w:tc>
          <w:tcPr>
            <w:tcW w:w="1380" w:type="dxa"/>
            <w:tcBorders>
              <w:top w:val="single" w:color="auto" w:sz="4" w:space="0"/>
              <w:left w:val="nil"/>
              <w:bottom w:val="single" w:color="auto" w:sz="4" w:space="0"/>
              <w:right w:val="single" w:color="auto" w:sz="4" w:space="0"/>
            </w:tcBorders>
            <w:shd w:val="clear" w:color="auto" w:fill="FBD4B4" w:themeFill="accent6" w:themeFillTint="66"/>
            <w:vAlign w:val="center"/>
          </w:tcPr>
          <w:p w14:paraId="4CBF1A6C">
            <w:pPr>
              <w:spacing w:after="0" w:line="360" w:lineRule="auto"/>
              <w:jc w:val="center"/>
              <w:rPr>
                <w:rFonts w:ascii="Times New Roman" w:hAnsi="Times New Roman" w:eastAsia="Times New Roman" w:cs="Times New Roman"/>
                <w:b/>
                <w:bCs/>
                <w:color w:val="000000"/>
                <w:lang w:eastAsia="hr-HR"/>
              </w:rPr>
            </w:pPr>
            <w:r>
              <w:rPr>
                <w:rFonts w:ascii="Times New Roman" w:hAnsi="Times New Roman" w:eastAsia="Times New Roman" w:cs="Times New Roman"/>
                <w:b/>
                <w:bCs/>
                <w:color w:val="000000"/>
                <w:lang w:eastAsia="hr-HR"/>
              </w:rPr>
              <w:t>Izvršenje za izvještajno razdoblje</w:t>
            </w:r>
          </w:p>
        </w:tc>
        <w:tc>
          <w:tcPr>
            <w:tcW w:w="1152" w:type="dxa"/>
            <w:gridSpan w:val="2"/>
            <w:tcBorders>
              <w:top w:val="single" w:color="auto" w:sz="4" w:space="0"/>
              <w:left w:val="nil"/>
              <w:bottom w:val="single" w:color="auto" w:sz="4" w:space="0"/>
              <w:right w:val="single" w:color="auto" w:sz="4" w:space="0"/>
            </w:tcBorders>
            <w:shd w:val="clear" w:color="auto" w:fill="FBD4B4" w:themeFill="accent6" w:themeFillTint="66"/>
            <w:vAlign w:val="center"/>
          </w:tcPr>
          <w:p w14:paraId="5A658A48">
            <w:pPr>
              <w:spacing w:after="0" w:line="360" w:lineRule="auto"/>
              <w:jc w:val="center"/>
              <w:rPr>
                <w:rFonts w:ascii="Times New Roman" w:hAnsi="Times New Roman" w:eastAsia="Times New Roman" w:cs="Times New Roman"/>
                <w:b/>
                <w:bCs/>
                <w:color w:val="000000"/>
                <w:lang w:eastAsia="hr-HR"/>
              </w:rPr>
            </w:pPr>
            <w:r>
              <w:rPr>
                <w:rFonts w:ascii="Times New Roman" w:hAnsi="Times New Roman" w:eastAsia="Times New Roman" w:cs="Times New Roman"/>
                <w:b/>
                <w:bCs/>
                <w:color w:val="000000"/>
                <w:lang w:eastAsia="hr-HR"/>
              </w:rPr>
              <w:t>Indeks  5/4</w:t>
            </w:r>
          </w:p>
        </w:tc>
      </w:tr>
      <w:tr w14:paraId="4FFA6C55">
        <w:tblPrEx>
          <w:tblCellMar>
            <w:top w:w="0" w:type="dxa"/>
            <w:left w:w="108" w:type="dxa"/>
            <w:bottom w:w="0" w:type="dxa"/>
            <w:right w:w="108" w:type="dxa"/>
          </w:tblCellMar>
        </w:tblPrEx>
        <w:trPr>
          <w:trHeight w:val="217" w:hRule="atLeast"/>
        </w:trPr>
        <w:tc>
          <w:tcPr>
            <w:tcW w:w="999" w:type="dxa"/>
            <w:tcBorders>
              <w:top w:val="nil"/>
              <w:left w:val="single" w:color="auto" w:sz="4" w:space="0"/>
              <w:bottom w:val="single" w:color="auto" w:sz="4" w:space="0"/>
              <w:right w:val="single" w:color="auto" w:sz="4" w:space="0"/>
            </w:tcBorders>
            <w:noWrap/>
            <w:vAlign w:val="center"/>
          </w:tcPr>
          <w:p w14:paraId="5F622D98">
            <w:pPr>
              <w:spacing w:after="0" w:line="360" w:lineRule="auto"/>
              <w:jc w:val="center"/>
              <w:rPr>
                <w:rFonts w:ascii="Times New Roman" w:hAnsi="Times New Roman" w:eastAsia="Times New Roman" w:cs="Times New Roman"/>
                <w:color w:val="000000"/>
                <w:sz w:val="14"/>
                <w:szCs w:val="14"/>
                <w:lang w:eastAsia="hr-HR"/>
              </w:rPr>
            </w:pPr>
            <w:r>
              <w:rPr>
                <w:rFonts w:ascii="Times New Roman" w:hAnsi="Times New Roman" w:eastAsia="Times New Roman" w:cs="Times New Roman"/>
                <w:color w:val="000000"/>
                <w:sz w:val="14"/>
                <w:szCs w:val="14"/>
                <w:lang w:eastAsia="hr-HR"/>
              </w:rPr>
              <w:t>1.</w:t>
            </w:r>
          </w:p>
        </w:tc>
        <w:tc>
          <w:tcPr>
            <w:tcW w:w="2909" w:type="dxa"/>
            <w:tcBorders>
              <w:top w:val="nil"/>
              <w:left w:val="nil"/>
              <w:bottom w:val="single" w:color="auto" w:sz="4" w:space="0"/>
              <w:right w:val="single" w:color="auto" w:sz="4" w:space="0"/>
            </w:tcBorders>
            <w:noWrap/>
            <w:vAlign w:val="center"/>
          </w:tcPr>
          <w:p w14:paraId="547C1422">
            <w:pPr>
              <w:spacing w:after="0" w:line="360" w:lineRule="auto"/>
              <w:jc w:val="center"/>
              <w:rPr>
                <w:rFonts w:ascii="Times New Roman" w:hAnsi="Times New Roman" w:eastAsia="Times New Roman" w:cs="Times New Roman"/>
                <w:color w:val="000000"/>
                <w:sz w:val="14"/>
                <w:szCs w:val="14"/>
                <w:lang w:eastAsia="hr-HR"/>
              </w:rPr>
            </w:pPr>
            <w:r>
              <w:rPr>
                <w:rFonts w:ascii="Times New Roman" w:hAnsi="Times New Roman" w:eastAsia="Times New Roman" w:cs="Times New Roman"/>
                <w:color w:val="000000"/>
                <w:sz w:val="14"/>
                <w:szCs w:val="14"/>
                <w:lang w:eastAsia="hr-HR"/>
              </w:rPr>
              <w:t>2.</w:t>
            </w:r>
          </w:p>
        </w:tc>
        <w:tc>
          <w:tcPr>
            <w:tcW w:w="1426" w:type="dxa"/>
            <w:tcBorders>
              <w:top w:val="nil"/>
              <w:left w:val="nil"/>
              <w:bottom w:val="single" w:color="auto" w:sz="4" w:space="0"/>
              <w:right w:val="single" w:color="auto" w:sz="4" w:space="0"/>
            </w:tcBorders>
            <w:noWrap/>
            <w:vAlign w:val="center"/>
          </w:tcPr>
          <w:p w14:paraId="371D361E">
            <w:pPr>
              <w:spacing w:after="0" w:line="360" w:lineRule="auto"/>
              <w:jc w:val="center"/>
              <w:rPr>
                <w:rFonts w:ascii="Times New Roman" w:hAnsi="Times New Roman" w:eastAsia="Times New Roman" w:cs="Times New Roman"/>
                <w:color w:val="000000"/>
                <w:sz w:val="14"/>
                <w:szCs w:val="14"/>
                <w:lang w:eastAsia="hr-HR"/>
              </w:rPr>
            </w:pPr>
            <w:r>
              <w:rPr>
                <w:rFonts w:ascii="Times New Roman" w:hAnsi="Times New Roman" w:eastAsia="Times New Roman" w:cs="Times New Roman"/>
                <w:color w:val="000000"/>
                <w:sz w:val="14"/>
                <w:szCs w:val="14"/>
                <w:lang w:eastAsia="hr-HR"/>
              </w:rPr>
              <w:t>3.</w:t>
            </w:r>
          </w:p>
        </w:tc>
        <w:tc>
          <w:tcPr>
            <w:tcW w:w="1491" w:type="dxa"/>
            <w:tcBorders>
              <w:top w:val="nil"/>
              <w:left w:val="nil"/>
              <w:bottom w:val="single" w:color="auto" w:sz="4" w:space="0"/>
              <w:right w:val="single" w:color="auto" w:sz="4" w:space="0"/>
            </w:tcBorders>
            <w:noWrap/>
            <w:vAlign w:val="center"/>
          </w:tcPr>
          <w:p w14:paraId="76B1E799">
            <w:pPr>
              <w:spacing w:after="0" w:line="360" w:lineRule="auto"/>
              <w:jc w:val="center"/>
              <w:rPr>
                <w:rFonts w:ascii="Times New Roman" w:hAnsi="Times New Roman" w:eastAsia="Times New Roman" w:cs="Times New Roman"/>
                <w:color w:val="000000"/>
                <w:sz w:val="14"/>
                <w:szCs w:val="14"/>
                <w:lang w:eastAsia="hr-HR"/>
              </w:rPr>
            </w:pPr>
            <w:r>
              <w:rPr>
                <w:rFonts w:ascii="Times New Roman" w:hAnsi="Times New Roman" w:eastAsia="Times New Roman" w:cs="Times New Roman"/>
                <w:color w:val="000000"/>
                <w:sz w:val="14"/>
                <w:szCs w:val="14"/>
                <w:lang w:eastAsia="hr-HR"/>
              </w:rPr>
              <w:t>4.</w:t>
            </w:r>
          </w:p>
        </w:tc>
        <w:tc>
          <w:tcPr>
            <w:tcW w:w="1380" w:type="dxa"/>
            <w:tcBorders>
              <w:top w:val="nil"/>
              <w:left w:val="nil"/>
              <w:bottom w:val="single" w:color="auto" w:sz="4" w:space="0"/>
              <w:right w:val="single" w:color="auto" w:sz="4" w:space="0"/>
            </w:tcBorders>
            <w:noWrap/>
            <w:vAlign w:val="center"/>
          </w:tcPr>
          <w:p w14:paraId="220EDC75">
            <w:pPr>
              <w:spacing w:after="0" w:line="360" w:lineRule="auto"/>
              <w:jc w:val="center"/>
              <w:rPr>
                <w:rFonts w:ascii="Times New Roman" w:hAnsi="Times New Roman" w:eastAsia="Times New Roman" w:cs="Times New Roman"/>
                <w:color w:val="000000"/>
                <w:sz w:val="14"/>
                <w:szCs w:val="14"/>
                <w:lang w:eastAsia="hr-HR"/>
              </w:rPr>
            </w:pPr>
            <w:r>
              <w:rPr>
                <w:rFonts w:ascii="Times New Roman" w:hAnsi="Times New Roman" w:eastAsia="Times New Roman" w:cs="Times New Roman"/>
                <w:color w:val="000000"/>
                <w:sz w:val="14"/>
                <w:szCs w:val="14"/>
                <w:lang w:eastAsia="hr-HR"/>
              </w:rPr>
              <w:t>5.</w:t>
            </w:r>
          </w:p>
        </w:tc>
        <w:tc>
          <w:tcPr>
            <w:tcW w:w="1152" w:type="dxa"/>
            <w:gridSpan w:val="2"/>
            <w:tcBorders>
              <w:top w:val="nil"/>
              <w:left w:val="nil"/>
              <w:bottom w:val="single" w:color="auto" w:sz="4" w:space="0"/>
              <w:right w:val="single" w:color="auto" w:sz="4" w:space="0"/>
            </w:tcBorders>
            <w:noWrap/>
            <w:vAlign w:val="center"/>
          </w:tcPr>
          <w:p w14:paraId="2F2C425B">
            <w:pPr>
              <w:spacing w:after="0" w:line="360" w:lineRule="auto"/>
              <w:jc w:val="center"/>
              <w:rPr>
                <w:rFonts w:ascii="Times New Roman" w:hAnsi="Times New Roman" w:eastAsia="Times New Roman" w:cs="Times New Roman"/>
                <w:color w:val="000000"/>
                <w:sz w:val="14"/>
                <w:szCs w:val="14"/>
                <w:lang w:eastAsia="hr-HR"/>
              </w:rPr>
            </w:pPr>
            <w:r>
              <w:rPr>
                <w:rFonts w:ascii="Times New Roman" w:hAnsi="Times New Roman" w:eastAsia="Times New Roman" w:cs="Times New Roman"/>
                <w:color w:val="000000"/>
                <w:sz w:val="14"/>
                <w:szCs w:val="14"/>
                <w:lang w:eastAsia="hr-HR"/>
              </w:rPr>
              <w:t>7.</w:t>
            </w:r>
          </w:p>
        </w:tc>
      </w:tr>
      <w:tr w14:paraId="5637851A">
        <w:tblPrEx>
          <w:tblCellMar>
            <w:top w:w="0" w:type="dxa"/>
            <w:left w:w="108" w:type="dxa"/>
            <w:bottom w:w="0" w:type="dxa"/>
            <w:right w:w="108" w:type="dxa"/>
          </w:tblCellMar>
        </w:tblPrEx>
        <w:trPr>
          <w:trHeight w:val="532" w:hRule="atLeast"/>
        </w:trPr>
        <w:tc>
          <w:tcPr>
            <w:tcW w:w="999" w:type="dxa"/>
            <w:tcBorders>
              <w:top w:val="nil"/>
              <w:left w:val="single" w:color="auto" w:sz="4" w:space="0"/>
              <w:bottom w:val="single" w:color="auto" w:sz="4" w:space="0"/>
              <w:right w:val="single" w:color="auto" w:sz="4" w:space="0"/>
            </w:tcBorders>
            <w:vAlign w:val="center"/>
          </w:tcPr>
          <w:p w14:paraId="551AD976">
            <w:pPr>
              <w:spacing w:after="0" w:line="360" w:lineRule="auto"/>
              <w:jc w:val="center"/>
              <w:rPr>
                <w:rFonts w:ascii="Times New Roman" w:hAnsi="Times New Roman" w:eastAsia="Times New Roman" w:cs="Times New Roman"/>
                <w:color w:val="000000"/>
                <w:lang w:eastAsia="hr-HR"/>
              </w:rPr>
            </w:pPr>
            <w:r>
              <w:rPr>
                <w:rFonts w:ascii="Times New Roman" w:hAnsi="Times New Roman" w:eastAsia="Times New Roman" w:cs="Times New Roman"/>
                <w:color w:val="000000"/>
                <w:lang w:eastAsia="hr-HR"/>
              </w:rPr>
              <w:t>63</w:t>
            </w:r>
          </w:p>
        </w:tc>
        <w:tc>
          <w:tcPr>
            <w:tcW w:w="2909" w:type="dxa"/>
            <w:tcBorders>
              <w:top w:val="nil"/>
              <w:left w:val="nil"/>
              <w:bottom w:val="single" w:color="auto" w:sz="4" w:space="0"/>
              <w:right w:val="single" w:color="auto" w:sz="4" w:space="0"/>
            </w:tcBorders>
            <w:vAlign w:val="center"/>
          </w:tcPr>
          <w:p w14:paraId="021562E1">
            <w:pPr>
              <w:spacing w:after="0" w:line="360" w:lineRule="auto"/>
              <w:jc w:val="center"/>
              <w:rPr>
                <w:rFonts w:ascii="Times New Roman" w:hAnsi="Times New Roman" w:eastAsia="Times New Roman" w:cs="Times New Roman"/>
                <w:color w:val="000000"/>
                <w:lang w:eastAsia="hr-HR"/>
              </w:rPr>
            </w:pPr>
            <w:r>
              <w:rPr>
                <w:rFonts w:ascii="Times New Roman" w:hAnsi="Times New Roman" w:eastAsia="Times New Roman" w:cs="Times New Roman"/>
                <w:color w:val="000000"/>
                <w:lang w:eastAsia="hr-HR"/>
              </w:rPr>
              <w:t>Pomoći iz inozemstva i od subjekata unutar opće države</w:t>
            </w:r>
          </w:p>
        </w:tc>
        <w:tc>
          <w:tcPr>
            <w:tcW w:w="1426" w:type="dxa"/>
            <w:tcBorders>
              <w:top w:val="nil"/>
              <w:left w:val="nil"/>
              <w:bottom w:val="single" w:color="auto" w:sz="4" w:space="0"/>
              <w:right w:val="single" w:color="auto" w:sz="4" w:space="0"/>
            </w:tcBorders>
            <w:vAlign w:val="center"/>
          </w:tcPr>
          <w:p w14:paraId="154CD46D">
            <w:pPr>
              <w:spacing w:after="0" w:line="360" w:lineRule="auto"/>
              <w:jc w:val="right"/>
              <w:rPr>
                <w:rFonts w:ascii="Times New Roman" w:hAnsi="Times New Roman" w:eastAsia="Times New Roman" w:cs="Times New Roman"/>
                <w:color w:val="000000"/>
                <w:lang w:eastAsia="hr-HR"/>
              </w:rPr>
            </w:pPr>
            <w:r>
              <w:rPr>
                <w:rFonts w:ascii="Times New Roman" w:hAnsi="Times New Roman" w:eastAsia="Times New Roman" w:cs="Times New Roman"/>
                <w:color w:val="000000"/>
                <w:lang w:eastAsia="hr-HR"/>
              </w:rPr>
              <w:t>1.672.430,30</w:t>
            </w:r>
          </w:p>
          <w:p w14:paraId="097F1182">
            <w:pPr>
              <w:spacing w:after="0" w:line="360" w:lineRule="auto"/>
              <w:jc w:val="right"/>
              <w:rPr>
                <w:rFonts w:ascii="Times New Roman" w:hAnsi="Times New Roman" w:eastAsia="Times New Roman" w:cs="Times New Roman"/>
                <w:color w:val="000000"/>
                <w:lang w:eastAsia="hr-HR"/>
              </w:rPr>
            </w:pPr>
          </w:p>
        </w:tc>
        <w:tc>
          <w:tcPr>
            <w:tcW w:w="1491" w:type="dxa"/>
            <w:tcBorders>
              <w:top w:val="nil"/>
              <w:left w:val="nil"/>
              <w:bottom w:val="single" w:color="auto" w:sz="4" w:space="0"/>
              <w:right w:val="single" w:color="auto" w:sz="4" w:space="0"/>
            </w:tcBorders>
            <w:vAlign w:val="center"/>
          </w:tcPr>
          <w:p w14:paraId="6ACF4B71">
            <w:pPr>
              <w:spacing w:after="0" w:line="360" w:lineRule="auto"/>
              <w:jc w:val="right"/>
              <w:rPr>
                <w:rFonts w:ascii="Times New Roman" w:hAnsi="Times New Roman" w:eastAsia="Times New Roman" w:cs="Times New Roman"/>
                <w:color w:val="000000"/>
                <w:lang w:eastAsia="hr-HR"/>
              </w:rPr>
            </w:pPr>
            <w:r>
              <w:rPr>
                <w:rFonts w:ascii="Times New Roman" w:hAnsi="Times New Roman" w:eastAsia="Times New Roman" w:cs="Times New Roman"/>
                <w:color w:val="000000"/>
                <w:lang w:eastAsia="hr-HR"/>
              </w:rPr>
              <w:t>2.092.603,83</w:t>
            </w:r>
          </w:p>
        </w:tc>
        <w:tc>
          <w:tcPr>
            <w:tcW w:w="1380" w:type="dxa"/>
            <w:tcBorders>
              <w:top w:val="nil"/>
              <w:left w:val="nil"/>
              <w:bottom w:val="single" w:color="auto" w:sz="4" w:space="0"/>
              <w:right w:val="single" w:color="auto" w:sz="4" w:space="0"/>
            </w:tcBorders>
            <w:shd w:val="clear" w:color="auto" w:fill="FFFFFF"/>
            <w:vAlign w:val="center"/>
          </w:tcPr>
          <w:p w14:paraId="2D8E2D1F">
            <w:pPr>
              <w:spacing w:after="0" w:line="360" w:lineRule="auto"/>
              <w:jc w:val="right"/>
              <w:rPr>
                <w:rFonts w:ascii="Times New Roman" w:hAnsi="Times New Roman" w:eastAsia="Times New Roman" w:cs="Times New Roman"/>
                <w:color w:val="000000"/>
                <w:lang w:eastAsia="hr-HR"/>
              </w:rPr>
            </w:pPr>
            <w:r>
              <w:rPr>
                <w:rFonts w:ascii="Times New Roman" w:hAnsi="Times New Roman" w:eastAsia="Times New Roman" w:cs="Times New Roman"/>
                <w:color w:val="000000"/>
                <w:lang w:eastAsia="hr-HR"/>
              </w:rPr>
              <w:t>2.115.395,23</w:t>
            </w:r>
          </w:p>
        </w:tc>
        <w:tc>
          <w:tcPr>
            <w:tcW w:w="1152" w:type="dxa"/>
            <w:gridSpan w:val="2"/>
            <w:tcBorders>
              <w:top w:val="nil"/>
              <w:left w:val="nil"/>
              <w:bottom w:val="single" w:color="auto" w:sz="4" w:space="0"/>
              <w:right w:val="single" w:color="auto" w:sz="4" w:space="0"/>
            </w:tcBorders>
            <w:vAlign w:val="center"/>
          </w:tcPr>
          <w:p w14:paraId="4265CB5D">
            <w:pPr>
              <w:spacing w:after="0" w:line="360" w:lineRule="auto"/>
              <w:jc w:val="right"/>
              <w:rPr>
                <w:rFonts w:ascii="Times New Roman" w:hAnsi="Times New Roman" w:eastAsia="Times New Roman" w:cs="Times New Roman"/>
                <w:color w:val="000000"/>
                <w:lang w:eastAsia="hr-HR"/>
              </w:rPr>
            </w:pPr>
            <w:r>
              <w:rPr>
                <w:rFonts w:ascii="Times New Roman" w:hAnsi="Times New Roman" w:eastAsia="Times New Roman" w:cs="Times New Roman"/>
                <w:color w:val="000000"/>
                <w:lang w:eastAsia="hr-HR"/>
              </w:rPr>
              <w:t>101,09</w:t>
            </w:r>
          </w:p>
        </w:tc>
      </w:tr>
      <w:tr w14:paraId="37C70325">
        <w:tblPrEx>
          <w:tblCellMar>
            <w:top w:w="0" w:type="dxa"/>
            <w:left w:w="108" w:type="dxa"/>
            <w:bottom w:w="0" w:type="dxa"/>
            <w:right w:w="108" w:type="dxa"/>
          </w:tblCellMar>
        </w:tblPrEx>
        <w:trPr>
          <w:trHeight w:val="295" w:hRule="atLeast"/>
        </w:trPr>
        <w:tc>
          <w:tcPr>
            <w:tcW w:w="999" w:type="dxa"/>
            <w:tcBorders>
              <w:top w:val="nil"/>
              <w:left w:val="single" w:color="auto" w:sz="4" w:space="0"/>
              <w:bottom w:val="single" w:color="auto" w:sz="4" w:space="0"/>
              <w:right w:val="single" w:color="auto" w:sz="4" w:space="0"/>
            </w:tcBorders>
            <w:vAlign w:val="center"/>
          </w:tcPr>
          <w:p w14:paraId="2AFA19E0">
            <w:pPr>
              <w:spacing w:after="0" w:line="360" w:lineRule="auto"/>
              <w:jc w:val="center"/>
              <w:rPr>
                <w:rFonts w:ascii="Times New Roman" w:hAnsi="Times New Roman" w:eastAsia="Times New Roman" w:cs="Times New Roman"/>
                <w:color w:val="000000"/>
                <w:lang w:eastAsia="hr-HR"/>
              </w:rPr>
            </w:pPr>
            <w:r>
              <w:rPr>
                <w:rFonts w:ascii="Times New Roman" w:hAnsi="Times New Roman" w:eastAsia="Times New Roman" w:cs="Times New Roman"/>
                <w:color w:val="000000"/>
                <w:lang w:eastAsia="hr-HR"/>
              </w:rPr>
              <w:t>64</w:t>
            </w:r>
          </w:p>
        </w:tc>
        <w:tc>
          <w:tcPr>
            <w:tcW w:w="2909" w:type="dxa"/>
            <w:tcBorders>
              <w:top w:val="nil"/>
              <w:left w:val="nil"/>
              <w:bottom w:val="single" w:color="auto" w:sz="4" w:space="0"/>
              <w:right w:val="single" w:color="auto" w:sz="4" w:space="0"/>
            </w:tcBorders>
            <w:vAlign w:val="center"/>
          </w:tcPr>
          <w:p w14:paraId="57BF81A3">
            <w:pPr>
              <w:spacing w:after="0" w:line="360" w:lineRule="auto"/>
              <w:jc w:val="center"/>
              <w:rPr>
                <w:rFonts w:ascii="Times New Roman" w:hAnsi="Times New Roman" w:eastAsia="Times New Roman" w:cs="Times New Roman"/>
                <w:color w:val="000000"/>
                <w:lang w:eastAsia="hr-HR"/>
              </w:rPr>
            </w:pPr>
            <w:r>
              <w:rPr>
                <w:rFonts w:ascii="Times New Roman" w:hAnsi="Times New Roman" w:eastAsia="Times New Roman" w:cs="Times New Roman"/>
                <w:color w:val="000000"/>
                <w:lang w:eastAsia="hr-HR"/>
              </w:rPr>
              <w:t>Prihodi od imovine</w:t>
            </w:r>
          </w:p>
        </w:tc>
        <w:tc>
          <w:tcPr>
            <w:tcW w:w="1426" w:type="dxa"/>
            <w:tcBorders>
              <w:top w:val="nil"/>
              <w:left w:val="nil"/>
              <w:bottom w:val="single" w:color="auto" w:sz="4" w:space="0"/>
              <w:right w:val="single" w:color="auto" w:sz="4" w:space="0"/>
            </w:tcBorders>
            <w:vAlign w:val="center"/>
          </w:tcPr>
          <w:p w14:paraId="68DD2D31">
            <w:pPr>
              <w:spacing w:after="0" w:line="360" w:lineRule="auto"/>
              <w:jc w:val="right"/>
              <w:rPr>
                <w:rFonts w:ascii="Times New Roman" w:hAnsi="Times New Roman" w:eastAsia="Times New Roman" w:cs="Times New Roman"/>
                <w:color w:val="000000"/>
                <w:lang w:eastAsia="hr-HR"/>
              </w:rPr>
            </w:pPr>
            <w:r>
              <w:rPr>
                <w:rFonts w:ascii="Times New Roman" w:hAnsi="Times New Roman" w:eastAsia="Times New Roman" w:cs="Times New Roman"/>
                <w:color w:val="000000"/>
                <w:lang w:eastAsia="hr-HR"/>
              </w:rPr>
              <w:t>9,62</w:t>
            </w:r>
          </w:p>
        </w:tc>
        <w:tc>
          <w:tcPr>
            <w:tcW w:w="1491" w:type="dxa"/>
            <w:tcBorders>
              <w:top w:val="nil"/>
              <w:left w:val="nil"/>
              <w:bottom w:val="single" w:color="auto" w:sz="4" w:space="0"/>
              <w:right w:val="single" w:color="auto" w:sz="4" w:space="0"/>
            </w:tcBorders>
            <w:vAlign w:val="center"/>
          </w:tcPr>
          <w:p w14:paraId="081BAEFC">
            <w:pPr>
              <w:spacing w:after="0" w:line="360" w:lineRule="auto"/>
              <w:jc w:val="right"/>
              <w:rPr>
                <w:rFonts w:ascii="Times New Roman" w:hAnsi="Times New Roman" w:eastAsia="Times New Roman" w:cs="Times New Roman"/>
                <w:color w:val="000000"/>
                <w:lang w:eastAsia="hr-HR"/>
              </w:rPr>
            </w:pPr>
            <w:r>
              <w:rPr>
                <w:rFonts w:ascii="Times New Roman" w:hAnsi="Times New Roman" w:eastAsia="Times New Roman" w:cs="Times New Roman"/>
                <w:color w:val="000000"/>
                <w:lang w:eastAsia="hr-HR"/>
              </w:rPr>
              <w:t>10,00</w:t>
            </w:r>
          </w:p>
        </w:tc>
        <w:tc>
          <w:tcPr>
            <w:tcW w:w="1380" w:type="dxa"/>
            <w:tcBorders>
              <w:top w:val="nil"/>
              <w:left w:val="nil"/>
              <w:bottom w:val="single" w:color="auto" w:sz="4" w:space="0"/>
              <w:right w:val="single" w:color="auto" w:sz="4" w:space="0"/>
            </w:tcBorders>
            <w:shd w:val="clear" w:color="auto" w:fill="FFFFFF"/>
            <w:vAlign w:val="center"/>
          </w:tcPr>
          <w:p w14:paraId="2914A887">
            <w:pPr>
              <w:spacing w:after="0" w:line="360" w:lineRule="auto"/>
              <w:jc w:val="right"/>
              <w:rPr>
                <w:rFonts w:ascii="Times New Roman" w:hAnsi="Times New Roman" w:eastAsia="Times New Roman" w:cs="Times New Roman"/>
                <w:color w:val="000000"/>
                <w:lang w:eastAsia="hr-HR"/>
              </w:rPr>
            </w:pPr>
            <w:r>
              <w:rPr>
                <w:rFonts w:ascii="Times New Roman" w:hAnsi="Times New Roman" w:eastAsia="Times New Roman" w:cs="Times New Roman"/>
                <w:color w:val="000000"/>
                <w:lang w:eastAsia="hr-HR"/>
              </w:rPr>
              <w:t>10,27</w:t>
            </w:r>
          </w:p>
        </w:tc>
        <w:tc>
          <w:tcPr>
            <w:tcW w:w="1152" w:type="dxa"/>
            <w:gridSpan w:val="2"/>
            <w:tcBorders>
              <w:top w:val="nil"/>
              <w:left w:val="nil"/>
              <w:bottom w:val="single" w:color="auto" w:sz="4" w:space="0"/>
              <w:right w:val="single" w:color="auto" w:sz="4" w:space="0"/>
            </w:tcBorders>
            <w:vAlign w:val="center"/>
          </w:tcPr>
          <w:p w14:paraId="1892189D">
            <w:pPr>
              <w:spacing w:after="0" w:line="360" w:lineRule="auto"/>
              <w:jc w:val="right"/>
              <w:rPr>
                <w:rFonts w:ascii="Times New Roman" w:hAnsi="Times New Roman" w:eastAsia="Times New Roman" w:cs="Times New Roman"/>
                <w:color w:val="000000"/>
                <w:lang w:eastAsia="hr-HR"/>
              </w:rPr>
            </w:pPr>
            <w:r>
              <w:rPr>
                <w:rFonts w:ascii="Times New Roman" w:hAnsi="Times New Roman" w:eastAsia="Times New Roman" w:cs="Times New Roman"/>
                <w:color w:val="000000"/>
                <w:lang w:eastAsia="hr-HR"/>
              </w:rPr>
              <w:t>102,70</w:t>
            </w:r>
          </w:p>
        </w:tc>
      </w:tr>
      <w:tr w14:paraId="26307428">
        <w:tblPrEx>
          <w:tblCellMar>
            <w:top w:w="0" w:type="dxa"/>
            <w:left w:w="108" w:type="dxa"/>
            <w:bottom w:w="0" w:type="dxa"/>
            <w:right w:w="108" w:type="dxa"/>
          </w:tblCellMar>
        </w:tblPrEx>
        <w:trPr>
          <w:trHeight w:val="591" w:hRule="atLeast"/>
        </w:trPr>
        <w:tc>
          <w:tcPr>
            <w:tcW w:w="999" w:type="dxa"/>
            <w:tcBorders>
              <w:top w:val="nil"/>
              <w:left w:val="single" w:color="auto" w:sz="4" w:space="0"/>
              <w:bottom w:val="single" w:color="auto" w:sz="4" w:space="0"/>
              <w:right w:val="single" w:color="auto" w:sz="4" w:space="0"/>
            </w:tcBorders>
            <w:vAlign w:val="center"/>
          </w:tcPr>
          <w:p w14:paraId="68D0808D">
            <w:pPr>
              <w:spacing w:after="0" w:line="360" w:lineRule="auto"/>
              <w:jc w:val="center"/>
              <w:rPr>
                <w:rFonts w:ascii="Times New Roman" w:hAnsi="Times New Roman" w:eastAsia="Times New Roman" w:cs="Times New Roman"/>
                <w:color w:val="000000"/>
                <w:lang w:eastAsia="hr-HR"/>
              </w:rPr>
            </w:pPr>
            <w:r>
              <w:rPr>
                <w:rFonts w:ascii="Times New Roman" w:hAnsi="Times New Roman" w:eastAsia="Times New Roman" w:cs="Times New Roman"/>
                <w:color w:val="000000"/>
                <w:lang w:eastAsia="hr-HR"/>
              </w:rPr>
              <w:t>65</w:t>
            </w:r>
          </w:p>
        </w:tc>
        <w:tc>
          <w:tcPr>
            <w:tcW w:w="2909" w:type="dxa"/>
            <w:tcBorders>
              <w:top w:val="nil"/>
              <w:left w:val="nil"/>
              <w:bottom w:val="single" w:color="auto" w:sz="4" w:space="0"/>
              <w:right w:val="single" w:color="auto" w:sz="4" w:space="0"/>
            </w:tcBorders>
            <w:vAlign w:val="center"/>
          </w:tcPr>
          <w:p w14:paraId="21E08075">
            <w:pPr>
              <w:spacing w:after="0" w:line="360" w:lineRule="auto"/>
              <w:jc w:val="center"/>
              <w:rPr>
                <w:rFonts w:ascii="Times New Roman" w:hAnsi="Times New Roman" w:eastAsia="Times New Roman" w:cs="Times New Roman"/>
                <w:color w:val="000000"/>
                <w:lang w:eastAsia="hr-HR"/>
              </w:rPr>
            </w:pPr>
            <w:r>
              <w:rPr>
                <w:rFonts w:ascii="Times New Roman" w:hAnsi="Times New Roman" w:eastAsia="Times New Roman" w:cs="Times New Roman"/>
                <w:color w:val="000000"/>
                <w:lang w:eastAsia="hr-HR"/>
              </w:rPr>
              <w:t>Prihodi od adm. pristojbi i po posebnim propisima</w:t>
            </w:r>
          </w:p>
        </w:tc>
        <w:tc>
          <w:tcPr>
            <w:tcW w:w="1426" w:type="dxa"/>
            <w:tcBorders>
              <w:top w:val="nil"/>
              <w:left w:val="nil"/>
              <w:bottom w:val="single" w:color="auto" w:sz="4" w:space="0"/>
              <w:right w:val="single" w:color="auto" w:sz="4" w:space="0"/>
            </w:tcBorders>
            <w:vAlign w:val="center"/>
          </w:tcPr>
          <w:p w14:paraId="3CACDD2C">
            <w:pPr>
              <w:spacing w:after="0" w:line="360" w:lineRule="auto"/>
              <w:jc w:val="right"/>
              <w:rPr>
                <w:rFonts w:ascii="Times New Roman" w:hAnsi="Times New Roman" w:eastAsia="Times New Roman" w:cs="Times New Roman"/>
                <w:color w:val="000000"/>
                <w:lang w:eastAsia="hr-HR"/>
              </w:rPr>
            </w:pPr>
            <w:r>
              <w:rPr>
                <w:rFonts w:ascii="Times New Roman" w:hAnsi="Times New Roman" w:eastAsia="Times New Roman" w:cs="Times New Roman"/>
                <w:color w:val="000000"/>
                <w:lang w:eastAsia="hr-HR"/>
              </w:rPr>
              <w:t>171.083,47</w:t>
            </w:r>
          </w:p>
        </w:tc>
        <w:tc>
          <w:tcPr>
            <w:tcW w:w="1491" w:type="dxa"/>
            <w:tcBorders>
              <w:top w:val="nil"/>
              <w:left w:val="nil"/>
              <w:bottom w:val="single" w:color="auto" w:sz="4" w:space="0"/>
              <w:right w:val="single" w:color="auto" w:sz="4" w:space="0"/>
            </w:tcBorders>
            <w:vAlign w:val="center"/>
          </w:tcPr>
          <w:p w14:paraId="4EADC490">
            <w:pPr>
              <w:spacing w:after="0" w:line="360" w:lineRule="auto"/>
              <w:jc w:val="right"/>
              <w:rPr>
                <w:rFonts w:ascii="Times New Roman" w:hAnsi="Times New Roman" w:eastAsia="Times New Roman" w:cs="Times New Roman"/>
                <w:color w:val="000000"/>
                <w:lang w:eastAsia="hr-HR"/>
              </w:rPr>
            </w:pPr>
            <w:r>
              <w:rPr>
                <w:rFonts w:ascii="Times New Roman" w:hAnsi="Times New Roman" w:eastAsia="Times New Roman" w:cs="Times New Roman"/>
                <w:color w:val="000000"/>
                <w:lang w:eastAsia="hr-HR"/>
              </w:rPr>
              <w:t>211.207,42</w:t>
            </w:r>
          </w:p>
        </w:tc>
        <w:tc>
          <w:tcPr>
            <w:tcW w:w="1380" w:type="dxa"/>
            <w:tcBorders>
              <w:top w:val="nil"/>
              <w:left w:val="nil"/>
              <w:bottom w:val="single" w:color="auto" w:sz="4" w:space="0"/>
              <w:right w:val="single" w:color="auto" w:sz="4" w:space="0"/>
            </w:tcBorders>
            <w:shd w:val="clear" w:color="auto" w:fill="FFFFFF"/>
            <w:vAlign w:val="center"/>
          </w:tcPr>
          <w:p w14:paraId="7B5AB182">
            <w:pPr>
              <w:spacing w:after="0" w:line="360" w:lineRule="auto"/>
              <w:jc w:val="right"/>
              <w:rPr>
                <w:rFonts w:ascii="Times New Roman" w:hAnsi="Times New Roman" w:eastAsia="Times New Roman" w:cs="Times New Roman"/>
                <w:color w:val="000000"/>
                <w:lang w:eastAsia="hr-HR"/>
              </w:rPr>
            </w:pPr>
            <w:r>
              <w:rPr>
                <w:rFonts w:ascii="Times New Roman" w:hAnsi="Times New Roman" w:eastAsia="Times New Roman" w:cs="Times New Roman"/>
                <w:color w:val="000000"/>
                <w:lang w:eastAsia="hr-HR"/>
              </w:rPr>
              <w:t>201.417,18</w:t>
            </w:r>
          </w:p>
        </w:tc>
        <w:tc>
          <w:tcPr>
            <w:tcW w:w="1152" w:type="dxa"/>
            <w:gridSpan w:val="2"/>
            <w:tcBorders>
              <w:top w:val="nil"/>
              <w:left w:val="nil"/>
              <w:bottom w:val="single" w:color="auto" w:sz="4" w:space="0"/>
              <w:right w:val="single" w:color="auto" w:sz="4" w:space="0"/>
            </w:tcBorders>
            <w:vAlign w:val="center"/>
          </w:tcPr>
          <w:p w14:paraId="6158C954">
            <w:pPr>
              <w:spacing w:after="0" w:line="360" w:lineRule="auto"/>
              <w:jc w:val="right"/>
              <w:rPr>
                <w:rFonts w:ascii="Times New Roman" w:hAnsi="Times New Roman" w:eastAsia="Times New Roman" w:cs="Times New Roman"/>
                <w:color w:val="000000"/>
                <w:lang w:eastAsia="hr-HR"/>
              </w:rPr>
            </w:pPr>
            <w:r>
              <w:rPr>
                <w:rFonts w:ascii="Times New Roman" w:hAnsi="Times New Roman" w:eastAsia="Times New Roman" w:cs="Times New Roman"/>
                <w:color w:val="000000"/>
                <w:lang w:eastAsia="hr-HR"/>
              </w:rPr>
              <w:t>95,36</w:t>
            </w:r>
          </w:p>
        </w:tc>
      </w:tr>
      <w:tr w14:paraId="7FA61419">
        <w:tblPrEx>
          <w:tblCellMar>
            <w:top w:w="0" w:type="dxa"/>
            <w:left w:w="108" w:type="dxa"/>
            <w:bottom w:w="0" w:type="dxa"/>
            <w:right w:w="108" w:type="dxa"/>
          </w:tblCellMar>
        </w:tblPrEx>
        <w:trPr>
          <w:trHeight w:val="517" w:hRule="atLeast"/>
        </w:trPr>
        <w:tc>
          <w:tcPr>
            <w:tcW w:w="999" w:type="dxa"/>
            <w:tcBorders>
              <w:top w:val="nil"/>
              <w:left w:val="single" w:color="auto" w:sz="4" w:space="0"/>
              <w:bottom w:val="single" w:color="auto" w:sz="4" w:space="0"/>
              <w:right w:val="single" w:color="auto" w:sz="4" w:space="0"/>
            </w:tcBorders>
            <w:vAlign w:val="center"/>
          </w:tcPr>
          <w:p w14:paraId="2BE4F7CD">
            <w:pPr>
              <w:spacing w:after="0" w:line="360" w:lineRule="auto"/>
              <w:jc w:val="center"/>
              <w:rPr>
                <w:rFonts w:ascii="Times New Roman" w:hAnsi="Times New Roman" w:eastAsia="Times New Roman" w:cs="Times New Roman"/>
                <w:color w:val="000000"/>
                <w:lang w:eastAsia="hr-HR"/>
              </w:rPr>
            </w:pPr>
            <w:r>
              <w:rPr>
                <w:rFonts w:ascii="Times New Roman" w:hAnsi="Times New Roman" w:eastAsia="Times New Roman" w:cs="Times New Roman"/>
                <w:color w:val="000000"/>
                <w:lang w:eastAsia="hr-HR"/>
              </w:rPr>
              <w:t>66</w:t>
            </w:r>
          </w:p>
        </w:tc>
        <w:tc>
          <w:tcPr>
            <w:tcW w:w="2909" w:type="dxa"/>
            <w:tcBorders>
              <w:top w:val="nil"/>
              <w:left w:val="nil"/>
              <w:bottom w:val="single" w:color="auto" w:sz="4" w:space="0"/>
              <w:right w:val="single" w:color="auto" w:sz="4" w:space="0"/>
            </w:tcBorders>
            <w:vAlign w:val="center"/>
          </w:tcPr>
          <w:p w14:paraId="0A034213">
            <w:pPr>
              <w:spacing w:after="0" w:line="360" w:lineRule="auto"/>
              <w:jc w:val="center"/>
              <w:rPr>
                <w:rFonts w:ascii="Times New Roman" w:hAnsi="Times New Roman" w:eastAsia="Times New Roman" w:cs="Times New Roman"/>
                <w:color w:val="000000"/>
                <w:sz w:val="20"/>
                <w:szCs w:val="20"/>
                <w:lang w:eastAsia="hr-HR"/>
              </w:rPr>
            </w:pPr>
            <w:r>
              <w:rPr>
                <w:rFonts w:ascii="Times New Roman" w:hAnsi="Times New Roman" w:eastAsia="Times New Roman" w:cs="Times New Roman"/>
                <w:color w:val="000000"/>
                <w:sz w:val="20"/>
                <w:szCs w:val="20"/>
                <w:lang w:eastAsia="hr-HR"/>
              </w:rPr>
              <w:t>Prihodi od prodaje proizvoda i robe te pruženih usluga  te prihodi od donacija</w:t>
            </w:r>
          </w:p>
        </w:tc>
        <w:tc>
          <w:tcPr>
            <w:tcW w:w="1426" w:type="dxa"/>
            <w:tcBorders>
              <w:top w:val="nil"/>
              <w:left w:val="nil"/>
              <w:bottom w:val="single" w:color="auto" w:sz="4" w:space="0"/>
              <w:right w:val="single" w:color="auto" w:sz="4" w:space="0"/>
            </w:tcBorders>
            <w:vAlign w:val="center"/>
          </w:tcPr>
          <w:p w14:paraId="3A0A9B22">
            <w:pPr>
              <w:spacing w:after="0" w:line="360" w:lineRule="auto"/>
              <w:jc w:val="right"/>
              <w:rPr>
                <w:rFonts w:ascii="Times New Roman" w:hAnsi="Times New Roman" w:eastAsia="Times New Roman" w:cs="Times New Roman"/>
                <w:color w:val="000000"/>
                <w:lang w:eastAsia="hr-HR"/>
              </w:rPr>
            </w:pPr>
            <w:r>
              <w:rPr>
                <w:rFonts w:ascii="Times New Roman" w:hAnsi="Times New Roman" w:eastAsia="Times New Roman" w:cs="Times New Roman"/>
                <w:color w:val="000000"/>
                <w:lang w:eastAsia="hr-HR"/>
              </w:rPr>
              <w:t>8.059,64</w:t>
            </w:r>
          </w:p>
        </w:tc>
        <w:tc>
          <w:tcPr>
            <w:tcW w:w="1491" w:type="dxa"/>
            <w:tcBorders>
              <w:top w:val="nil"/>
              <w:left w:val="nil"/>
              <w:bottom w:val="single" w:color="auto" w:sz="4" w:space="0"/>
              <w:right w:val="single" w:color="auto" w:sz="4" w:space="0"/>
            </w:tcBorders>
            <w:vAlign w:val="center"/>
          </w:tcPr>
          <w:p w14:paraId="43EE4516">
            <w:pPr>
              <w:spacing w:after="0" w:line="360" w:lineRule="auto"/>
              <w:jc w:val="right"/>
              <w:rPr>
                <w:rFonts w:ascii="Times New Roman" w:hAnsi="Times New Roman" w:eastAsia="Times New Roman" w:cs="Times New Roman"/>
                <w:color w:val="000000"/>
                <w:lang w:eastAsia="hr-HR"/>
              </w:rPr>
            </w:pPr>
            <w:r>
              <w:rPr>
                <w:rFonts w:ascii="Times New Roman" w:hAnsi="Times New Roman" w:eastAsia="Times New Roman" w:cs="Times New Roman"/>
                <w:color w:val="000000"/>
                <w:lang w:eastAsia="hr-HR"/>
              </w:rPr>
              <w:t>265,45</w:t>
            </w:r>
          </w:p>
        </w:tc>
        <w:tc>
          <w:tcPr>
            <w:tcW w:w="1380" w:type="dxa"/>
            <w:tcBorders>
              <w:top w:val="nil"/>
              <w:left w:val="nil"/>
              <w:bottom w:val="single" w:color="auto" w:sz="4" w:space="0"/>
              <w:right w:val="single" w:color="auto" w:sz="4" w:space="0"/>
            </w:tcBorders>
            <w:shd w:val="clear" w:color="auto" w:fill="FFFFFF"/>
            <w:vAlign w:val="center"/>
          </w:tcPr>
          <w:p w14:paraId="26DD3FC0">
            <w:pPr>
              <w:spacing w:after="0" w:line="360" w:lineRule="auto"/>
              <w:jc w:val="right"/>
              <w:rPr>
                <w:rFonts w:ascii="Times New Roman" w:hAnsi="Times New Roman" w:eastAsia="Times New Roman" w:cs="Times New Roman"/>
                <w:color w:val="000000"/>
                <w:lang w:eastAsia="hr-HR"/>
              </w:rPr>
            </w:pPr>
            <w:r>
              <w:rPr>
                <w:rFonts w:ascii="Times New Roman" w:hAnsi="Times New Roman" w:eastAsia="Times New Roman" w:cs="Times New Roman"/>
                <w:color w:val="000000"/>
                <w:lang w:eastAsia="hr-HR"/>
              </w:rPr>
              <w:t>1.055,45</w:t>
            </w:r>
          </w:p>
        </w:tc>
        <w:tc>
          <w:tcPr>
            <w:tcW w:w="1152" w:type="dxa"/>
            <w:gridSpan w:val="2"/>
            <w:tcBorders>
              <w:top w:val="nil"/>
              <w:left w:val="nil"/>
              <w:bottom w:val="single" w:color="auto" w:sz="4" w:space="0"/>
              <w:right w:val="single" w:color="auto" w:sz="4" w:space="0"/>
            </w:tcBorders>
            <w:vAlign w:val="center"/>
          </w:tcPr>
          <w:p w14:paraId="10E36BAA">
            <w:pPr>
              <w:spacing w:after="0" w:line="360" w:lineRule="auto"/>
              <w:jc w:val="right"/>
              <w:rPr>
                <w:rFonts w:ascii="Times New Roman" w:hAnsi="Times New Roman" w:eastAsia="Times New Roman" w:cs="Times New Roman"/>
                <w:color w:val="000000"/>
                <w:lang w:eastAsia="hr-HR"/>
              </w:rPr>
            </w:pPr>
            <w:r>
              <w:rPr>
                <w:rFonts w:ascii="Times New Roman" w:hAnsi="Times New Roman" w:eastAsia="Times New Roman" w:cs="Times New Roman"/>
                <w:color w:val="000000"/>
                <w:lang w:eastAsia="hr-HR"/>
              </w:rPr>
              <w:t>397,61</w:t>
            </w:r>
          </w:p>
        </w:tc>
      </w:tr>
      <w:tr w14:paraId="4DD61716">
        <w:tblPrEx>
          <w:tblCellMar>
            <w:top w:w="0" w:type="dxa"/>
            <w:left w:w="108" w:type="dxa"/>
            <w:bottom w:w="0" w:type="dxa"/>
            <w:right w:w="108" w:type="dxa"/>
          </w:tblCellMar>
        </w:tblPrEx>
        <w:trPr>
          <w:gridAfter w:val="1"/>
          <w:wAfter w:w="18" w:type="dxa"/>
          <w:trHeight w:val="591" w:hRule="atLeast"/>
        </w:trPr>
        <w:tc>
          <w:tcPr>
            <w:tcW w:w="999" w:type="dxa"/>
            <w:tcBorders>
              <w:top w:val="nil"/>
              <w:left w:val="single" w:color="auto" w:sz="4" w:space="0"/>
              <w:bottom w:val="single" w:color="auto" w:sz="4" w:space="0"/>
              <w:right w:val="single" w:color="auto" w:sz="4" w:space="0"/>
            </w:tcBorders>
            <w:vAlign w:val="center"/>
          </w:tcPr>
          <w:p w14:paraId="215DFDE4">
            <w:pPr>
              <w:spacing w:after="0" w:line="360" w:lineRule="auto"/>
              <w:jc w:val="center"/>
              <w:rPr>
                <w:rFonts w:ascii="Times New Roman" w:hAnsi="Times New Roman" w:eastAsia="Times New Roman" w:cs="Times New Roman"/>
                <w:color w:val="000000"/>
                <w:lang w:eastAsia="hr-HR"/>
              </w:rPr>
            </w:pPr>
            <w:r>
              <w:rPr>
                <w:rFonts w:ascii="Times New Roman" w:hAnsi="Times New Roman" w:eastAsia="Times New Roman" w:cs="Times New Roman"/>
                <w:color w:val="000000"/>
                <w:lang w:eastAsia="hr-HR"/>
              </w:rPr>
              <w:t>67</w:t>
            </w:r>
          </w:p>
        </w:tc>
        <w:tc>
          <w:tcPr>
            <w:tcW w:w="2909" w:type="dxa"/>
            <w:tcBorders>
              <w:top w:val="nil"/>
              <w:left w:val="nil"/>
              <w:bottom w:val="single" w:color="auto" w:sz="4" w:space="0"/>
              <w:right w:val="single" w:color="auto" w:sz="4" w:space="0"/>
            </w:tcBorders>
            <w:vAlign w:val="center"/>
          </w:tcPr>
          <w:p w14:paraId="2DE1E294">
            <w:pPr>
              <w:spacing w:after="0" w:line="360" w:lineRule="auto"/>
              <w:jc w:val="center"/>
              <w:rPr>
                <w:rFonts w:ascii="Times New Roman" w:hAnsi="Times New Roman" w:eastAsia="Times New Roman" w:cs="Times New Roman"/>
                <w:color w:val="000000"/>
                <w:lang w:eastAsia="hr-HR"/>
              </w:rPr>
            </w:pPr>
            <w:r>
              <w:rPr>
                <w:rFonts w:ascii="Times New Roman" w:hAnsi="Times New Roman" w:eastAsia="Times New Roman" w:cs="Times New Roman"/>
                <w:color w:val="000000"/>
                <w:lang w:eastAsia="hr-HR"/>
              </w:rPr>
              <w:t xml:space="preserve">Prihodi iz nadležnog proračuna </w:t>
            </w:r>
          </w:p>
        </w:tc>
        <w:tc>
          <w:tcPr>
            <w:tcW w:w="1426" w:type="dxa"/>
            <w:tcBorders>
              <w:top w:val="nil"/>
              <w:left w:val="nil"/>
              <w:bottom w:val="single" w:color="auto" w:sz="4" w:space="0"/>
              <w:right w:val="single" w:color="auto" w:sz="4" w:space="0"/>
            </w:tcBorders>
            <w:vAlign w:val="center"/>
          </w:tcPr>
          <w:p w14:paraId="4DBE1DEF">
            <w:pPr>
              <w:spacing w:after="0" w:line="360" w:lineRule="auto"/>
              <w:jc w:val="right"/>
              <w:rPr>
                <w:rFonts w:ascii="Times New Roman" w:hAnsi="Times New Roman" w:eastAsia="Times New Roman" w:cs="Times New Roman"/>
                <w:color w:val="000000"/>
                <w:lang w:eastAsia="hr-HR"/>
              </w:rPr>
            </w:pPr>
            <w:r>
              <w:rPr>
                <w:rFonts w:ascii="Times New Roman" w:hAnsi="Times New Roman" w:eastAsia="Times New Roman" w:cs="Times New Roman"/>
                <w:color w:val="000000"/>
                <w:lang w:eastAsia="hr-HR"/>
              </w:rPr>
              <w:t>157.436,86</w:t>
            </w:r>
          </w:p>
        </w:tc>
        <w:tc>
          <w:tcPr>
            <w:tcW w:w="1491" w:type="dxa"/>
            <w:tcBorders>
              <w:top w:val="nil"/>
              <w:left w:val="nil"/>
              <w:bottom w:val="single" w:color="auto" w:sz="4" w:space="0"/>
              <w:right w:val="single" w:color="auto" w:sz="4" w:space="0"/>
            </w:tcBorders>
            <w:vAlign w:val="center"/>
          </w:tcPr>
          <w:p w14:paraId="118F2F52">
            <w:pPr>
              <w:spacing w:after="0" w:line="360" w:lineRule="auto"/>
              <w:jc w:val="right"/>
              <w:rPr>
                <w:rFonts w:ascii="Times New Roman" w:hAnsi="Times New Roman" w:eastAsia="Times New Roman" w:cs="Times New Roman"/>
                <w:color w:val="000000"/>
                <w:lang w:eastAsia="hr-HR"/>
              </w:rPr>
            </w:pPr>
            <w:r>
              <w:rPr>
                <w:rFonts w:ascii="Times New Roman" w:hAnsi="Times New Roman" w:eastAsia="Times New Roman" w:cs="Times New Roman"/>
                <w:color w:val="000000"/>
                <w:lang w:eastAsia="hr-HR"/>
              </w:rPr>
              <w:t>181.618,09</w:t>
            </w:r>
          </w:p>
        </w:tc>
        <w:tc>
          <w:tcPr>
            <w:tcW w:w="1380" w:type="dxa"/>
            <w:tcBorders>
              <w:top w:val="nil"/>
              <w:left w:val="nil"/>
              <w:bottom w:val="single" w:color="auto" w:sz="4" w:space="0"/>
              <w:right w:val="single" w:color="auto" w:sz="4" w:space="0"/>
            </w:tcBorders>
            <w:shd w:val="clear" w:color="auto" w:fill="FFFFFF"/>
            <w:vAlign w:val="center"/>
          </w:tcPr>
          <w:p w14:paraId="3D1719EE">
            <w:pPr>
              <w:spacing w:after="0" w:line="360" w:lineRule="auto"/>
              <w:jc w:val="right"/>
              <w:rPr>
                <w:rFonts w:ascii="Times New Roman" w:hAnsi="Times New Roman" w:eastAsia="Times New Roman" w:cs="Times New Roman"/>
                <w:color w:val="000000"/>
                <w:lang w:eastAsia="hr-HR"/>
              </w:rPr>
            </w:pPr>
            <w:r>
              <w:rPr>
                <w:rFonts w:ascii="Times New Roman" w:hAnsi="Times New Roman" w:eastAsia="Times New Roman" w:cs="Times New Roman"/>
                <w:color w:val="000000"/>
                <w:lang w:eastAsia="hr-HR"/>
              </w:rPr>
              <w:t>157.436,86</w:t>
            </w:r>
          </w:p>
        </w:tc>
        <w:tc>
          <w:tcPr>
            <w:tcW w:w="1134" w:type="dxa"/>
            <w:tcBorders>
              <w:top w:val="nil"/>
              <w:left w:val="nil"/>
              <w:bottom w:val="single" w:color="auto" w:sz="4" w:space="0"/>
              <w:right w:val="single" w:color="auto" w:sz="4" w:space="0"/>
            </w:tcBorders>
            <w:vAlign w:val="center"/>
          </w:tcPr>
          <w:p w14:paraId="3A4AA1B1">
            <w:pPr>
              <w:spacing w:after="0" w:line="360" w:lineRule="auto"/>
              <w:jc w:val="right"/>
              <w:rPr>
                <w:rFonts w:ascii="Times New Roman" w:hAnsi="Times New Roman" w:eastAsia="Times New Roman" w:cs="Times New Roman"/>
                <w:color w:val="000000"/>
                <w:lang w:eastAsia="hr-HR"/>
              </w:rPr>
            </w:pPr>
          </w:p>
          <w:p w14:paraId="7C041550">
            <w:pPr>
              <w:spacing w:after="0" w:line="360" w:lineRule="auto"/>
              <w:jc w:val="right"/>
              <w:rPr>
                <w:rFonts w:ascii="Times New Roman" w:hAnsi="Times New Roman" w:eastAsia="Times New Roman" w:cs="Times New Roman"/>
                <w:color w:val="000000"/>
                <w:lang w:eastAsia="hr-HR"/>
              </w:rPr>
            </w:pPr>
            <w:r>
              <w:rPr>
                <w:rFonts w:ascii="Times New Roman" w:hAnsi="Times New Roman" w:eastAsia="Times New Roman" w:cs="Times New Roman"/>
                <w:color w:val="000000"/>
                <w:lang w:eastAsia="hr-HR"/>
              </w:rPr>
              <w:t>107,55</w:t>
            </w:r>
          </w:p>
          <w:p w14:paraId="5C29E229">
            <w:pPr>
              <w:spacing w:after="0" w:line="360" w:lineRule="auto"/>
              <w:jc w:val="right"/>
              <w:rPr>
                <w:rFonts w:ascii="Times New Roman" w:hAnsi="Times New Roman" w:eastAsia="Times New Roman" w:cs="Times New Roman"/>
                <w:color w:val="000000"/>
                <w:lang w:eastAsia="hr-HR"/>
              </w:rPr>
            </w:pPr>
          </w:p>
        </w:tc>
      </w:tr>
      <w:tr w14:paraId="54C95C98">
        <w:tblPrEx>
          <w:tblCellMar>
            <w:top w:w="0" w:type="dxa"/>
            <w:left w:w="108" w:type="dxa"/>
            <w:bottom w:w="0" w:type="dxa"/>
            <w:right w:w="108" w:type="dxa"/>
          </w:tblCellMar>
        </w:tblPrEx>
        <w:trPr>
          <w:gridAfter w:val="1"/>
          <w:wAfter w:w="18" w:type="dxa"/>
          <w:trHeight w:val="591" w:hRule="atLeast"/>
        </w:trPr>
        <w:tc>
          <w:tcPr>
            <w:tcW w:w="999" w:type="dxa"/>
            <w:tcBorders>
              <w:top w:val="nil"/>
              <w:left w:val="single" w:color="auto" w:sz="4" w:space="0"/>
              <w:bottom w:val="single" w:color="auto" w:sz="4" w:space="0"/>
              <w:right w:val="single" w:color="auto" w:sz="4" w:space="0"/>
            </w:tcBorders>
            <w:vAlign w:val="center"/>
          </w:tcPr>
          <w:p w14:paraId="294078D1">
            <w:pPr>
              <w:spacing w:after="0" w:line="360" w:lineRule="auto"/>
              <w:jc w:val="center"/>
              <w:rPr>
                <w:rFonts w:ascii="Times New Roman" w:hAnsi="Times New Roman" w:eastAsia="Times New Roman" w:cs="Times New Roman"/>
                <w:color w:val="000000"/>
                <w:lang w:eastAsia="hr-HR"/>
              </w:rPr>
            </w:pPr>
            <w:r>
              <w:rPr>
                <w:rFonts w:ascii="Times New Roman" w:hAnsi="Times New Roman" w:eastAsia="Times New Roman" w:cs="Times New Roman"/>
                <w:color w:val="000000"/>
                <w:lang w:eastAsia="hr-HR"/>
              </w:rPr>
              <w:t>72</w:t>
            </w:r>
          </w:p>
        </w:tc>
        <w:tc>
          <w:tcPr>
            <w:tcW w:w="2909" w:type="dxa"/>
            <w:tcBorders>
              <w:top w:val="nil"/>
              <w:left w:val="nil"/>
              <w:bottom w:val="single" w:color="auto" w:sz="4" w:space="0"/>
              <w:right w:val="single" w:color="auto" w:sz="4" w:space="0"/>
            </w:tcBorders>
            <w:vAlign w:val="center"/>
          </w:tcPr>
          <w:p w14:paraId="2967AAE4">
            <w:pPr>
              <w:spacing w:after="0" w:line="360" w:lineRule="auto"/>
              <w:jc w:val="center"/>
              <w:rPr>
                <w:rFonts w:ascii="Times New Roman" w:hAnsi="Times New Roman" w:eastAsia="Times New Roman" w:cs="Times New Roman"/>
                <w:color w:val="000000"/>
                <w:lang w:eastAsia="hr-HR"/>
              </w:rPr>
            </w:pPr>
            <w:r>
              <w:rPr>
                <w:rFonts w:ascii="Times New Roman" w:hAnsi="Times New Roman" w:eastAsia="Times New Roman" w:cs="Times New Roman"/>
                <w:color w:val="000000"/>
                <w:lang w:eastAsia="hr-HR"/>
              </w:rPr>
              <w:t>Prihodi od prodaje proizvedene imovine</w:t>
            </w:r>
          </w:p>
        </w:tc>
        <w:tc>
          <w:tcPr>
            <w:tcW w:w="1426" w:type="dxa"/>
            <w:tcBorders>
              <w:top w:val="nil"/>
              <w:left w:val="nil"/>
              <w:bottom w:val="single" w:color="auto" w:sz="4" w:space="0"/>
              <w:right w:val="single" w:color="auto" w:sz="4" w:space="0"/>
            </w:tcBorders>
            <w:vAlign w:val="center"/>
          </w:tcPr>
          <w:p w14:paraId="0913B2D1">
            <w:pPr>
              <w:spacing w:after="0" w:line="360" w:lineRule="auto"/>
              <w:jc w:val="right"/>
              <w:rPr>
                <w:rFonts w:ascii="Times New Roman" w:hAnsi="Times New Roman" w:eastAsia="Times New Roman" w:cs="Times New Roman"/>
                <w:color w:val="000000"/>
                <w:lang w:eastAsia="hr-HR"/>
              </w:rPr>
            </w:pPr>
            <w:r>
              <w:rPr>
                <w:rFonts w:ascii="Times New Roman" w:hAnsi="Times New Roman" w:eastAsia="Times New Roman" w:cs="Times New Roman"/>
                <w:color w:val="000000"/>
                <w:lang w:eastAsia="hr-HR"/>
              </w:rPr>
              <w:t>156,48</w:t>
            </w:r>
          </w:p>
        </w:tc>
        <w:tc>
          <w:tcPr>
            <w:tcW w:w="1491" w:type="dxa"/>
            <w:tcBorders>
              <w:top w:val="nil"/>
              <w:left w:val="nil"/>
              <w:bottom w:val="single" w:color="auto" w:sz="4" w:space="0"/>
              <w:right w:val="single" w:color="auto" w:sz="4" w:space="0"/>
            </w:tcBorders>
            <w:vAlign w:val="center"/>
          </w:tcPr>
          <w:p w14:paraId="53BFA210">
            <w:pPr>
              <w:spacing w:after="0" w:line="360" w:lineRule="auto"/>
              <w:jc w:val="right"/>
              <w:rPr>
                <w:rFonts w:ascii="Times New Roman" w:hAnsi="Times New Roman" w:eastAsia="Times New Roman" w:cs="Times New Roman"/>
                <w:color w:val="000000"/>
                <w:lang w:eastAsia="hr-HR"/>
              </w:rPr>
            </w:pPr>
            <w:r>
              <w:rPr>
                <w:rFonts w:ascii="Times New Roman" w:hAnsi="Times New Roman" w:eastAsia="Times New Roman" w:cs="Times New Roman"/>
                <w:color w:val="000000"/>
                <w:lang w:eastAsia="hr-HR"/>
              </w:rPr>
              <w:t>73,00</w:t>
            </w:r>
          </w:p>
        </w:tc>
        <w:tc>
          <w:tcPr>
            <w:tcW w:w="1380" w:type="dxa"/>
            <w:tcBorders>
              <w:top w:val="nil"/>
              <w:left w:val="nil"/>
              <w:bottom w:val="single" w:color="auto" w:sz="4" w:space="0"/>
              <w:right w:val="single" w:color="auto" w:sz="4" w:space="0"/>
            </w:tcBorders>
            <w:shd w:val="clear" w:color="auto" w:fill="FFFFFF"/>
            <w:vAlign w:val="center"/>
          </w:tcPr>
          <w:p w14:paraId="79B92B1B">
            <w:pPr>
              <w:spacing w:after="0" w:line="360" w:lineRule="auto"/>
              <w:jc w:val="right"/>
              <w:rPr>
                <w:rFonts w:ascii="Times New Roman" w:hAnsi="Times New Roman" w:eastAsia="Times New Roman" w:cs="Times New Roman"/>
                <w:color w:val="000000"/>
                <w:lang w:eastAsia="hr-HR"/>
              </w:rPr>
            </w:pPr>
            <w:r>
              <w:rPr>
                <w:rFonts w:ascii="Times New Roman" w:hAnsi="Times New Roman" w:eastAsia="Times New Roman" w:cs="Times New Roman"/>
                <w:color w:val="000000"/>
                <w:lang w:eastAsia="hr-HR"/>
              </w:rPr>
              <w:t>15,48</w:t>
            </w:r>
          </w:p>
        </w:tc>
        <w:tc>
          <w:tcPr>
            <w:tcW w:w="1134" w:type="dxa"/>
            <w:tcBorders>
              <w:top w:val="nil"/>
              <w:left w:val="nil"/>
              <w:bottom w:val="single" w:color="auto" w:sz="4" w:space="0"/>
              <w:right w:val="single" w:color="auto" w:sz="4" w:space="0"/>
            </w:tcBorders>
            <w:vAlign w:val="center"/>
          </w:tcPr>
          <w:p w14:paraId="4FB7AF35">
            <w:pPr>
              <w:spacing w:after="0" w:line="360" w:lineRule="auto"/>
              <w:jc w:val="right"/>
              <w:rPr>
                <w:rFonts w:ascii="Times New Roman" w:hAnsi="Times New Roman" w:eastAsia="Times New Roman" w:cs="Times New Roman"/>
                <w:color w:val="000000"/>
                <w:lang w:eastAsia="hr-HR"/>
              </w:rPr>
            </w:pPr>
            <w:r>
              <w:rPr>
                <w:rFonts w:ascii="Times New Roman" w:hAnsi="Times New Roman" w:eastAsia="Times New Roman" w:cs="Times New Roman"/>
                <w:color w:val="000000"/>
                <w:lang w:eastAsia="hr-HR"/>
              </w:rPr>
              <w:t>101,30</w:t>
            </w:r>
          </w:p>
        </w:tc>
      </w:tr>
      <w:tr w14:paraId="7944CAE9">
        <w:tblPrEx>
          <w:tblCellMar>
            <w:top w:w="0" w:type="dxa"/>
            <w:left w:w="108" w:type="dxa"/>
            <w:bottom w:w="0" w:type="dxa"/>
            <w:right w:w="108" w:type="dxa"/>
          </w:tblCellMar>
        </w:tblPrEx>
        <w:trPr>
          <w:trHeight w:val="295" w:hRule="atLeast"/>
        </w:trPr>
        <w:tc>
          <w:tcPr>
            <w:tcW w:w="999" w:type="dxa"/>
            <w:tcBorders>
              <w:top w:val="nil"/>
              <w:left w:val="single" w:color="auto" w:sz="4" w:space="0"/>
              <w:bottom w:val="single" w:color="auto" w:sz="4" w:space="0"/>
              <w:right w:val="single" w:color="auto" w:sz="4" w:space="0"/>
            </w:tcBorders>
            <w:vAlign w:val="center"/>
          </w:tcPr>
          <w:p w14:paraId="4BF212FA"/>
        </w:tc>
        <w:tc>
          <w:tcPr>
            <w:tcW w:w="2909" w:type="dxa"/>
            <w:tcBorders>
              <w:top w:val="nil"/>
              <w:left w:val="nil"/>
              <w:bottom w:val="single" w:color="auto" w:sz="4" w:space="0"/>
              <w:right w:val="single" w:color="auto" w:sz="4" w:space="0"/>
            </w:tcBorders>
            <w:vAlign w:val="center"/>
          </w:tcPr>
          <w:p w14:paraId="20CEDFE8">
            <w:pPr>
              <w:spacing w:after="0" w:line="360" w:lineRule="auto"/>
              <w:jc w:val="center"/>
              <w:rPr>
                <w:rFonts w:ascii="Times New Roman" w:hAnsi="Times New Roman" w:eastAsia="Times New Roman" w:cs="Times New Roman"/>
                <w:b/>
                <w:bCs/>
                <w:color w:val="000000"/>
                <w:lang w:eastAsia="hr-HR"/>
              </w:rPr>
            </w:pPr>
            <w:r>
              <w:rPr>
                <w:rFonts w:ascii="Times New Roman" w:hAnsi="Times New Roman" w:eastAsia="Times New Roman" w:cs="Times New Roman"/>
                <w:b/>
                <w:bCs/>
                <w:color w:val="000000"/>
                <w:lang w:eastAsia="hr-HR"/>
              </w:rPr>
              <w:t>UKUPNO PRIHODI</w:t>
            </w:r>
          </w:p>
        </w:tc>
        <w:tc>
          <w:tcPr>
            <w:tcW w:w="1426" w:type="dxa"/>
            <w:tcBorders>
              <w:top w:val="nil"/>
              <w:left w:val="nil"/>
              <w:bottom w:val="single" w:color="auto" w:sz="4" w:space="0"/>
              <w:right w:val="single" w:color="auto" w:sz="4" w:space="0"/>
            </w:tcBorders>
            <w:vAlign w:val="center"/>
          </w:tcPr>
          <w:p w14:paraId="3B708E04">
            <w:pPr>
              <w:spacing w:after="0" w:line="360" w:lineRule="auto"/>
              <w:jc w:val="right"/>
              <w:rPr>
                <w:rFonts w:ascii="Times New Roman" w:hAnsi="Times New Roman" w:eastAsia="Times New Roman" w:cs="Times New Roman"/>
                <w:b/>
                <w:bCs/>
                <w:color w:val="000000"/>
                <w:lang w:eastAsia="hr-HR"/>
              </w:rPr>
            </w:pPr>
            <w:r>
              <w:rPr>
                <w:rFonts w:ascii="Times New Roman" w:hAnsi="Times New Roman" w:eastAsia="Times New Roman" w:cs="Times New Roman"/>
                <w:b/>
                <w:bCs/>
                <w:color w:val="000000"/>
                <w:lang w:eastAsia="hr-HR"/>
              </w:rPr>
              <w:t>2.009.035,37</w:t>
            </w:r>
          </w:p>
        </w:tc>
        <w:tc>
          <w:tcPr>
            <w:tcW w:w="1491" w:type="dxa"/>
            <w:tcBorders>
              <w:top w:val="nil"/>
              <w:left w:val="nil"/>
              <w:bottom w:val="single" w:color="auto" w:sz="4" w:space="0"/>
              <w:right w:val="single" w:color="auto" w:sz="4" w:space="0"/>
            </w:tcBorders>
            <w:vAlign w:val="center"/>
          </w:tcPr>
          <w:p w14:paraId="6804F4E9">
            <w:pPr>
              <w:spacing w:after="0" w:line="360" w:lineRule="auto"/>
              <w:jc w:val="right"/>
              <w:rPr>
                <w:rFonts w:ascii="Times New Roman" w:hAnsi="Times New Roman" w:eastAsia="Times New Roman" w:cs="Times New Roman"/>
                <w:b/>
                <w:bCs/>
                <w:color w:val="000000"/>
                <w:lang w:eastAsia="hr-HR"/>
              </w:rPr>
            </w:pPr>
            <w:r>
              <w:rPr>
                <w:rFonts w:ascii="Times New Roman" w:hAnsi="Times New Roman" w:eastAsia="Times New Roman" w:cs="Times New Roman"/>
                <w:b/>
                <w:bCs/>
                <w:color w:val="000000"/>
                <w:lang w:eastAsia="hr-HR"/>
              </w:rPr>
              <w:t>2.485.777,79</w:t>
            </w:r>
          </w:p>
        </w:tc>
        <w:tc>
          <w:tcPr>
            <w:tcW w:w="1380" w:type="dxa"/>
            <w:tcBorders>
              <w:top w:val="nil"/>
              <w:left w:val="nil"/>
              <w:bottom w:val="single" w:color="auto" w:sz="4" w:space="0"/>
              <w:right w:val="single" w:color="auto" w:sz="4" w:space="0"/>
            </w:tcBorders>
            <w:shd w:val="clear" w:color="auto" w:fill="FFFFFF"/>
            <w:vAlign w:val="center"/>
          </w:tcPr>
          <w:p w14:paraId="21347719">
            <w:pPr>
              <w:spacing w:after="0" w:line="360" w:lineRule="auto"/>
              <w:jc w:val="right"/>
              <w:rPr>
                <w:rFonts w:ascii="Times New Roman" w:hAnsi="Times New Roman" w:eastAsia="Times New Roman" w:cs="Times New Roman"/>
                <w:b/>
                <w:bCs/>
                <w:color w:val="000000"/>
                <w:lang w:eastAsia="hr-HR"/>
              </w:rPr>
            </w:pPr>
            <w:r>
              <w:rPr>
                <w:rFonts w:ascii="Times New Roman" w:hAnsi="Times New Roman" w:eastAsia="Times New Roman" w:cs="Times New Roman"/>
                <w:b/>
                <w:bCs/>
                <w:color w:val="000000"/>
                <w:lang w:eastAsia="hr-HR"/>
              </w:rPr>
              <w:t>2.513.279,92</w:t>
            </w:r>
          </w:p>
        </w:tc>
        <w:tc>
          <w:tcPr>
            <w:tcW w:w="1152" w:type="dxa"/>
            <w:gridSpan w:val="2"/>
            <w:tcBorders>
              <w:top w:val="nil"/>
              <w:left w:val="nil"/>
              <w:bottom w:val="single" w:color="auto" w:sz="4" w:space="0"/>
              <w:right w:val="single" w:color="auto" w:sz="4" w:space="0"/>
            </w:tcBorders>
            <w:vAlign w:val="center"/>
          </w:tcPr>
          <w:p w14:paraId="74C9B57F">
            <w:pPr>
              <w:spacing w:after="0" w:line="360" w:lineRule="auto"/>
              <w:jc w:val="right"/>
              <w:rPr>
                <w:rFonts w:ascii="Times New Roman" w:hAnsi="Times New Roman" w:eastAsia="Times New Roman" w:cs="Times New Roman"/>
                <w:b/>
                <w:bCs/>
                <w:color w:val="000000"/>
                <w:lang w:eastAsia="hr-HR"/>
              </w:rPr>
            </w:pPr>
            <w:r>
              <w:rPr>
                <w:rFonts w:ascii="Times New Roman" w:hAnsi="Times New Roman" w:eastAsia="Times New Roman" w:cs="Times New Roman"/>
                <w:b/>
                <w:bCs/>
                <w:color w:val="000000"/>
                <w:lang w:eastAsia="hr-HR"/>
              </w:rPr>
              <w:t>101,11</w:t>
            </w:r>
          </w:p>
        </w:tc>
      </w:tr>
    </w:tbl>
    <w:p w14:paraId="0573ECD0">
      <w:pPr>
        <w:spacing w:line="360" w:lineRule="auto"/>
        <w:jc w:val="both"/>
        <w:rPr>
          <w:rFonts w:ascii="Times New Roman" w:hAnsi="Times New Roman" w:cs="Times New Roman"/>
          <w:sz w:val="24"/>
          <w:szCs w:val="24"/>
        </w:rPr>
      </w:pPr>
      <w:r>
        <w:rPr>
          <w:rFonts w:ascii="Times New Roman" w:hAnsi="Times New Roman" w:cs="Times New Roman"/>
          <w:sz w:val="24"/>
          <w:szCs w:val="24"/>
        </w:rPr>
        <w:t>Prihodi od pomoći (skupina 63) ostvareni su 101,11 % u odnosu na godišnji financijski plan prihoda i primitaka i rashoda i izdataka. Na ovoj skupini konta vode se  pomoći proračunskim korisnicima iz proračuna koji im nije nadležan (skupina 636), a koje se odnose na plaće, materijalna prava zaposlenika, isplate za mentorstva, plaće po sudskim presudama, lektira, udžbenici, sredstva za Županijski aktiv razredne nastave.  U odnosu na proteklo promatrano razdoblje, prihodi su veći, a do povećanja najvećim djelom dolazi  zbog povećanja plaća,  povećano financiranje lokalne samouprave za plaće u produženom boravku, sredstva lokalne samouprave za sufinanciranje ručkova u matičnoj školi.</w:t>
      </w:r>
    </w:p>
    <w:p w14:paraId="4B50AB86">
      <w:pPr>
        <w:spacing w:line="360" w:lineRule="auto"/>
        <w:jc w:val="both"/>
        <w:rPr>
          <w:rFonts w:ascii="Times New Roman" w:hAnsi="Times New Roman" w:cs="Times New Roman"/>
          <w:sz w:val="24"/>
          <w:szCs w:val="24"/>
        </w:rPr>
      </w:pPr>
      <w:r>
        <w:rPr>
          <w:rFonts w:ascii="Times New Roman" w:hAnsi="Times New Roman" w:cs="Times New Roman"/>
          <w:sz w:val="24"/>
          <w:szCs w:val="24"/>
        </w:rPr>
        <w:t>Prihodi od imovine (skupina 64) odnose se na prihode od financijske imovine koji obuhvaćaju prihode od kamata na depozite po viđenju za račune koji se vode u Erste banci, ostvareni su 102,70% u odnosu na plan.</w:t>
      </w:r>
    </w:p>
    <w:p w14:paraId="70D103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Prihodi od upravnih i administrativnih pristojbi, pristojbi po posebnim propisima (skupina 65)  ostvareni su 95,36 % u odnosu na plan, odnose se na prihode za produženi boravak učenika, prijevoz autobusima za terensku nastavu, kino i kazališne predstave koje financiraju roditelji, realizirano je manje prijevoza autobusom u kino, kazalište, a računi za prosinac 2024. izdani su krajem prosinca i naplaćeni u siječnju 2025. </w:t>
      </w:r>
    </w:p>
    <w:p w14:paraId="16DE5426">
      <w:pPr>
        <w:spacing w:line="360" w:lineRule="auto"/>
        <w:jc w:val="both"/>
        <w:rPr>
          <w:rFonts w:ascii="Times New Roman" w:hAnsi="Times New Roman" w:cs="Times New Roman"/>
          <w:sz w:val="24"/>
          <w:szCs w:val="24"/>
        </w:rPr>
      </w:pPr>
      <w:r>
        <w:rPr>
          <w:rFonts w:ascii="Times New Roman" w:hAnsi="Times New Roman" w:cs="Times New Roman"/>
          <w:sz w:val="24"/>
          <w:szCs w:val="24"/>
        </w:rPr>
        <w:t>Prihodi od prodaje proizvoda i robe te pruženih usluga i prihodi od donacija (skupina 66) odnose se na prihode od donacija i ostvareni su 397,61%  u odnosu na plan, dobili smo donaciju krajem godine koja nije bila u planu, budući da nismo imali drugi rebalans plana.</w:t>
      </w:r>
    </w:p>
    <w:p w14:paraId="5EB2FF7A">
      <w:pPr>
        <w:spacing w:line="360" w:lineRule="auto"/>
        <w:jc w:val="both"/>
        <w:rPr>
          <w:rFonts w:ascii="Times New Roman" w:hAnsi="Times New Roman" w:cs="Times New Roman"/>
          <w:sz w:val="24"/>
          <w:szCs w:val="24"/>
        </w:rPr>
      </w:pPr>
      <w:r>
        <w:rPr>
          <w:rFonts w:ascii="Times New Roman" w:hAnsi="Times New Roman" w:cs="Times New Roman"/>
          <w:sz w:val="24"/>
          <w:szCs w:val="24"/>
        </w:rPr>
        <w:t>Prihodi iz nadležnog proračuna (skupina 671) odnose se na prihode koje škola ostvaruje iz proračuna osnivača odnosno Primorsko goranske županije, a odnose se na opće prihode i primitke i na decentralizirana sredstva. Ostvareni su 107,55%  u odnosu na plan, za 2024. godinu odobreno nam je 16.031,04 eura dodatnih sredstava, a 3.357,05 eura školi je odobreno iz sredstava viška PGŽ za energiju. Decentralizirana sredstva su prihodi za materijalne troškove, ostvarenje u donosu na plan je veće. Iz općih prihoda i primitaka Županija nam doznačuje sredstva za županijsko natjecanje iz informatike, županijsku školu plivanja,  programe školskog kurikuluma, Medni dan i plaće pomoćnika u nastavi. Prihodima iz nadležnog proračuna u potpunosti su pokriveni rashodi tekuće godine.</w:t>
      </w:r>
    </w:p>
    <w:p w14:paraId="3459BAB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Prihodi od prodaje proizvedene dugotrajne imovine (skupina 72) odnose se na prodaju stanova na kojima postoji stanarsko pravo, te su realizirani 101,30% u odnosu na plan. </w:t>
      </w:r>
    </w:p>
    <w:p w14:paraId="3ADBC585">
      <w:pPr>
        <w:spacing w:line="360" w:lineRule="auto"/>
        <w:jc w:val="both"/>
        <w:rPr>
          <w:rFonts w:ascii="Times New Roman" w:hAnsi="Times New Roman" w:cs="Times New Roman"/>
          <w:sz w:val="24"/>
          <w:szCs w:val="24"/>
        </w:rPr>
      </w:pPr>
    </w:p>
    <w:p w14:paraId="4731139D">
      <w:pPr>
        <w:spacing w:line="360" w:lineRule="auto"/>
        <w:jc w:val="both"/>
        <w:rPr>
          <w:rFonts w:ascii="Times New Roman" w:hAnsi="Times New Roman" w:cs="Times New Roman"/>
          <w:sz w:val="24"/>
          <w:szCs w:val="24"/>
        </w:rPr>
      </w:pPr>
    </w:p>
    <w:p w14:paraId="138AA5CD">
      <w:pPr>
        <w:spacing w:line="360" w:lineRule="auto"/>
        <w:jc w:val="both"/>
        <w:rPr>
          <w:rFonts w:ascii="Times New Roman" w:hAnsi="Times New Roman" w:cs="Times New Roman"/>
          <w:sz w:val="24"/>
          <w:szCs w:val="24"/>
        </w:rPr>
      </w:pPr>
    </w:p>
    <w:p w14:paraId="3D88054A">
      <w:pPr>
        <w:spacing w:line="360" w:lineRule="auto"/>
        <w:jc w:val="both"/>
        <w:rPr>
          <w:rFonts w:ascii="Times New Roman" w:hAnsi="Times New Roman" w:cs="Times New Roman"/>
          <w:sz w:val="24"/>
          <w:szCs w:val="24"/>
        </w:rPr>
      </w:pPr>
    </w:p>
    <w:p w14:paraId="781CDAAF">
      <w:pPr>
        <w:spacing w:line="360" w:lineRule="auto"/>
        <w:jc w:val="both"/>
        <w:rPr>
          <w:rFonts w:ascii="Times New Roman" w:hAnsi="Times New Roman" w:cs="Times New Roman"/>
          <w:sz w:val="24"/>
          <w:szCs w:val="24"/>
        </w:rPr>
      </w:pPr>
    </w:p>
    <w:p w14:paraId="6EFC535A">
      <w:pPr>
        <w:spacing w:line="360" w:lineRule="auto"/>
        <w:jc w:val="both"/>
        <w:rPr>
          <w:rFonts w:ascii="Times New Roman" w:hAnsi="Times New Roman" w:cs="Times New Roman"/>
          <w:sz w:val="24"/>
          <w:szCs w:val="24"/>
        </w:rPr>
      </w:pPr>
    </w:p>
    <w:p w14:paraId="59CABE92">
      <w:pPr>
        <w:spacing w:line="360" w:lineRule="auto"/>
        <w:jc w:val="both"/>
        <w:rPr>
          <w:rFonts w:ascii="Times New Roman" w:hAnsi="Times New Roman" w:cs="Times New Roman"/>
          <w:sz w:val="24"/>
          <w:szCs w:val="24"/>
        </w:rPr>
      </w:pPr>
      <w:r>
        <w:rPr>
          <w:rFonts w:ascii="Times New Roman" w:hAnsi="Times New Roman" w:cs="Times New Roman"/>
          <w:sz w:val="24"/>
          <w:szCs w:val="24"/>
        </w:rPr>
        <w:t>Rekapitulacija rashoda po skupinama računa:</w:t>
      </w:r>
    </w:p>
    <w:tbl>
      <w:tblPr>
        <w:tblStyle w:val="3"/>
        <w:tblW w:w="9268" w:type="dxa"/>
        <w:jc w:val="center"/>
        <w:tblLayout w:type="fixed"/>
        <w:tblCellMar>
          <w:top w:w="0" w:type="dxa"/>
          <w:left w:w="108" w:type="dxa"/>
          <w:bottom w:w="0" w:type="dxa"/>
          <w:right w:w="108" w:type="dxa"/>
        </w:tblCellMar>
      </w:tblPr>
      <w:tblGrid>
        <w:gridCol w:w="1000"/>
        <w:gridCol w:w="2688"/>
        <w:gridCol w:w="1476"/>
        <w:gridCol w:w="1642"/>
        <w:gridCol w:w="1492"/>
        <w:gridCol w:w="970"/>
      </w:tblGrid>
      <w:tr w14:paraId="7D89E931">
        <w:tblPrEx>
          <w:tblCellMar>
            <w:top w:w="0" w:type="dxa"/>
            <w:left w:w="108" w:type="dxa"/>
            <w:bottom w:w="0" w:type="dxa"/>
            <w:right w:w="108" w:type="dxa"/>
          </w:tblCellMar>
        </w:tblPrEx>
        <w:trPr>
          <w:trHeight w:val="1500" w:hRule="atLeast"/>
          <w:jc w:val="center"/>
        </w:trPr>
        <w:tc>
          <w:tcPr>
            <w:tcW w:w="1000" w:type="dxa"/>
            <w:tcBorders>
              <w:top w:val="single" w:color="auto" w:sz="4" w:space="0"/>
              <w:left w:val="single" w:color="auto" w:sz="4" w:space="0"/>
              <w:bottom w:val="single" w:color="auto" w:sz="4" w:space="0"/>
              <w:right w:val="single" w:color="auto" w:sz="4" w:space="0"/>
            </w:tcBorders>
            <w:shd w:val="clear" w:color="auto" w:fill="FBD4B4" w:themeFill="accent6" w:themeFillTint="66"/>
            <w:vAlign w:val="center"/>
          </w:tcPr>
          <w:p w14:paraId="51FDBE68">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b/>
                <w:bCs/>
                <w:color w:val="000000"/>
                <w:lang w:eastAsia="hr-HR"/>
              </w:rPr>
              <w:t>Skupina konta</w:t>
            </w:r>
          </w:p>
        </w:tc>
        <w:tc>
          <w:tcPr>
            <w:tcW w:w="2688" w:type="dxa"/>
            <w:tcBorders>
              <w:top w:val="single" w:color="auto" w:sz="4" w:space="0"/>
              <w:left w:val="nil"/>
              <w:bottom w:val="single" w:color="auto" w:sz="4" w:space="0"/>
              <w:right w:val="single" w:color="auto" w:sz="4" w:space="0"/>
            </w:tcBorders>
            <w:shd w:val="clear" w:color="auto" w:fill="FBD4B4" w:themeFill="accent6" w:themeFillTint="66"/>
            <w:vAlign w:val="center"/>
          </w:tcPr>
          <w:p w14:paraId="0E7E6DAE">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b/>
                <w:bCs/>
                <w:color w:val="000000"/>
                <w:lang w:eastAsia="hr-HR"/>
              </w:rPr>
              <w:t>Naziv konta rashoda</w:t>
            </w:r>
          </w:p>
        </w:tc>
        <w:tc>
          <w:tcPr>
            <w:tcW w:w="1476" w:type="dxa"/>
            <w:tcBorders>
              <w:top w:val="single" w:color="auto" w:sz="4" w:space="0"/>
              <w:left w:val="nil"/>
              <w:bottom w:val="single" w:color="auto" w:sz="4" w:space="0"/>
              <w:right w:val="single" w:color="auto" w:sz="4" w:space="0"/>
            </w:tcBorders>
            <w:shd w:val="clear" w:color="auto" w:fill="FBD4B4" w:themeFill="accent6" w:themeFillTint="66"/>
            <w:vAlign w:val="center"/>
          </w:tcPr>
          <w:p w14:paraId="23427425">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b/>
                <w:bCs/>
                <w:color w:val="000000"/>
                <w:lang w:eastAsia="hr-HR"/>
              </w:rPr>
              <w:t>Izvršenje za izvještajno razdoblje prethodne godine</w:t>
            </w:r>
          </w:p>
        </w:tc>
        <w:tc>
          <w:tcPr>
            <w:tcW w:w="1642" w:type="dxa"/>
            <w:tcBorders>
              <w:top w:val="single" w:color="auto" w:sz="4" w:space="0"/>
              <w:left w:val="nil"/>
              <w:bottom w:val="single" w:color="auto" w:sz="4" w:space="0"/>
              <w:right w:val="single" w:color="auto" w:sz="4" w:space="0"/>
            </w:tcBorders>
            <w:shd w:val="clear" w:color="auto" w:fill="FBD4B4" w:themeFill="accent6" w:themeFillTint="66"/>
            <w:vAlign w:val="center"/>
          </w:tcPr>
          <w:p w14:paraId="476E714E">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b/>
                <w:bCs/>
                <w:color w:val="000000"/>
                <w:lang w:eastAsia="hr-HR"/>
              </w:rPr>
              <w:t>Izvorni plan ili rebalans</w:t>
            </w:r>
          </w:p>
        </w:tc>
        <w:tc>
          <w:tcPr>
            <w:tcW w:w="1492" w:type="dxa"/>
            <w:tcBorders>
              <w:top w:val="single" w:color="auto" w:sz="4" w:space="0"/>
              <w:left w:val="nil"/>
              <w:bottom w:val="single" w:color="auto" w:sz="4" w:space="0"/>
              <w:right w:val="single" w:color="auto" w:sz="4" w:space="0"/>
            </w:tcBorders>
            <w:shd w:val="clear" w:color="auto" w:fill="FBD4B4" w:themeFill="accent6" w:themeFillTint="66"/>
            <w:vAlign w:val="center"/>
          </w:tcPr>
          <w:p w14:paraId="72FD8A36">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b/>
                <w:bCs/>
                <w:color w:val="000000"/>
                <w:lang w:eastAsia="hr-HR"/>
              </w:rPr>
              <w:t>Izvršenje za izvještajno razdoblje</w:t>
            </w:r>
          </w:p>
        </w:tc>
        <w:tc>
          <w:tcPr>
            <w:tcW w:w="970" w:type="dxa"/>
            <w:tcBorders>
              <w:top w:val="single" w:color="auto" w:sz="4" w:space="0"/>
              <w:left w:val="nil"/>
              <w:bottom w:val="single" w:color="auto" w:sz="4" w:space="0"/>
              <w:right w:val="single" w:color="auto" w:sz="4" w:space="0"/>
            </w:tcBorders>
            <w:shd w:val="clear" w:color="auto" w:fill="FBD4B4" w:themeFill="accent6" w:themeFillTint="66"/>
            <w:vAlign w:val="center"/>
          </w:tcPr>
          <w:p w14:paraId="03AC2166">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b/>
                <w:bCs/>
                <w:color w:val="000000"/>
                <w:lang w:eastAsia="hr-HR"/>
              </w:rPr>
              <w:t>Indeks  5/4</w:t>
            </w:r>
          </w:p>
        </w:tc>
      </w:tr>
      <w:tr w14:paraId="5AE95C53">
        <w:tblPrEx>
          <w:tblCellMar>
            <w:top w:w="0" w:type="dxa"/>
            <w:left w:w="108" w:type="dxa"/>
            <w:bottom w:w="0" w:type="dxa"/>
            <w:right w:w="108" w:type="dxa"/>
          </w:tblCellMar>
        </w:tblPrEx>
        <w:trPr>
          <w:trHeight w:val="203" w:hRule="atLeast"/>
          <w:jc w:val="center"/>
        </w:trPr>
        <w:tc>
          <w:tcPr>
            <w:tcW w:w="1000" w:type="dxa"/>
            <w:tcBorders>
              <w:top w:val="nil"/>
              <w:left w:val="single" w:color="auto" w:sz="4" w:space="0"/>
              <w:bottom w:val="single" w:color="auto" w:sz="4" w:space="0"/>
              <w:right w:val="single" w:color="auto" w:sz="4" w:space="0"/>
            </w:tcBorders>
            <w:noWrap/>
            <w:vAlign w:val="center"/>
          </w:tcPr>
          <w:p w14:paraId="2EC40446">
            <w:pPr>
              <w:spacing w:after="0" w:line="360" w:lineRule="auto"/>
              <w:jc w:val="center"/>
              <w:rPr>
                <w:rFonts w:ascii="Times New Roman" w:hAnsi="Times New Roman" w:eastAsia="Times New Roman" w:cs="Times New Roman"/>
                <w:color w:val="000000"/>
                <w:sz w:val="14"/>
                <w:szCs w:val="14"/>
                <w:lang w:eastAsia="hr-HR"/>
              </w:rPr>
            </w:pPr>
            <w:r>
              <w:rPr>
                <w:rFonts w:ascii="Times New Roman" w:hAnsi="Times New Roman" w:eastAsia="Times New Roman" w:cs="Times New Roman"/>
                <w:color w:val="000000"/>
                <w:sz w:val="14"/>
                <w:szCs w:val="14"/>
                <w:lang w:eastAsia="hr-HR"/>
              </w:rPr>
              <w:t>1.</w:t>
            </w:r>
          </w:p>
        </w:tc>
        <w:tc>
          <w:tcPr>
            <w:tcW w:w="2688" w:type="dxa"/>
            <w:tcBorders>
              <w:top w:val="nil"/>
              <w:left w:val="nil"/>
              <w:bottom w:val="single" w:color="auto" w:sz="4" w:space="0"/>
              <w:right w:val="single" w:color="auto" w:sz="4" w:space="0"/>
            </w:tcBorders>
            <w:noWrap/>
            <w:vAlign w:val="center"/>
          </w:tcPr>
          <w:p w14:paraId="30E4B47E">
            <w:pPr>
              <w:spacing w:after="0" w:line="360" w:lineRule="auto"/>
              <w:jc w:val="center"/>
              <w:rPr>
                <w:rFonts w:ascii="Times New Roman" w:hAnsi="Times New Roman" w:eastAsia="Times New Roman" w:cs="Times New Roman"/>
                <w:color w:val="000000"/>
                <w:sz w:val="14"/>
                <w:szCs w:val="14"/>
                <w:lang w:eastAsia="hr-HR"/>
              </w:rPr>
            </w:pPr>
            <w:r>
              <w:rPr>
                <w:rFonts w:ascii="Times New Roman" w:hAnsi="Times New Roman" w:eastAsia="Times New Roman" w:cs="Times New Roman"/>
                <w:color w:val="000000"/>
                <w:sz w:val="14"/>
                <w:szCs w:val="14"/>
                <w:lang w:eastAsia="hr-HR"/>
              </w:rPr>
              <w:t>2.</w:t>
            </w:r>
          </w:p>
        </w:tc>
        <w:tc>
          <w:tcPr>
            <w:tcW w:w="1476" w:type="dxa"/>
            <w:tcBorders>
              <w:top w:val="nil"/>
              <w:left w:val="nil"/>
              <w:bottom w:val="single" w:color="auto" w:sz="4" w:space="0"/>
              <w:right w:val="single" w:color="auto" w:sz="4" w:space="0"/>
            </w:tcBorders>
            <w:noWrap/>
            <w:vAlign w:val="center"/>
          </w:tcPr>
          <w:p w14:paraId="50ED0F0D">
            <w:pPr>
              <w:spacing w:after="0" w:line="360" w:lineRule="auto"/>
              <w:jc w:val="center"/>
              <w:rPr>
                <w:rFonts w:ascii="Times New Roman" w:hAnsi="Times New Roman" w:eastAsia="Times New Roman" w:cs="Times New Roman"/>
                <w:color w:val="000000"/>
                <w:sz w:val="14"/>
                <w:szCs w:val="14"/>
                <w:lang w:eastAsia="hr-HR"/>
              </w:rPr>
            </w:pPr>
            <w:r>
              <w:rPr>
                <w:rFonts w:ascii="Times New Roman" w:hAnsi="Times New Roman" w:eastAsia="Times New Roman" w:cs="Times New Roman"/>
                <w:color w:val="000000"/>
                <w:sz w:val="14"/>
                <w:szCs w:val="14"/>
                <w:lang w:eastAsia="hr-HR"/>
              </w:rPr>
              <w:t>3.</w:t>
            </w:r>
          </w:p>
        </w:tc>
        <w:tc>
          <w:tcPr>
            <w:tcW w:w="1642" w:type="dxa"/>
            <w:tcBorders>
              <w:top w:val="nil"/>
              <w:left w:val="nil"/>
              <w:bottom w:val="single" w:color="auto" w:sz="4" w:space="0"/>
              <w:right w:val="single" w:color="auto" w:sz="4" w:space="0"/>
            </w:tcBorders>
            <w:noWrap/>
            <w:vAlign w:val="center"/>
          </w:tcPr>
          <w:p w14:paraId="3167584A">
            <w:pPr>
              <w:spacing w:after="0" w:line="360" w:lineRule="auto"/>
              <w:jc w:val="center"/>
              <w:rPr>
                <w:rFonts w:ascii="Times New Roman" w:hAnsi="Times New Roman" w:eastAsia="Times New Roman" w:cs="Times New Roman"/>
                <w:color w:val="000000"/>
                <w:sz w:val="14"/>
                <w:szCs w:val="14"/>
                <w:lang w:eastAsia="hr-HR"/>
              </w:rPr>
            </w:pPr>
            <w:r>
              <w:rPr>
                <w:rFonts w:ascii="Times New Roman" w:hAnsi="Times New Roman" w:eastAsia="Times New Roman" w:cs="Times New Roman"/>
                <w:color w:val="000000"/>
                <w:sz w:val="14"/>
                <w:szCs w:val="14"/>
                <w:lang w:eastAsia="hr-HR"/>
              </w:rPr>
              <w:t>4.</w:t>
            </w:r>
          </w:p>
        </w:tc>
        <w:tc>
          <w:tcPr>
            <w:tcW w:w="1492" w:type="dxa"/>
            <w:tcBorders>
              <w:top w:val="nil"/>
              <w:left w:val="nil"/>
              <w:bottom w:val="single" w:color="auto" w:sz="4" w:space="0"/>
              <w:right w:val="single" w:color="auto" w:sz="4" w:space="0"/>
            </w:tcBorders>
            <w:noWrap/>
            <w:vAlign w:val="center"/>
          </w:tcPr>
          <w:p w14:paraId="64B2DE4E">
            <w:pPr>
              <w:spacing w:after="0" w:line="360" w:lineRule="auto"/>
              <w:jc w:val="center"/>
              <w:rPr>
                <w:rFonts w:ascii="Times New Roman" w:hAnsi="Times New Roman" w:eastAsia="Times New Roman" w:cs="Times New Roman"/>
                <w:color w:val="000000"/>
                <w:sz w:val="14"/>
                <w:szCs w:val="14"/>
                <w:lang w:eastAsia="hr-HR"/>
              </w:rPr>
            </w:pPr>
            <w:r>
              <w:rPr>
                <w:rFonts w:ascii="Times New Roman" w:hAnsi="Times New Roman" w:eastAsia="Times New Roman" w:cs="Times New Roman"/>
                <w:color w:val="000000"/>
                <w:sz w:val="14"/>
                <w:szCs w:val="14"/>
                <w:lang w:eastAsia="hr-HR"/>
              </w:rPr>
              <w:t>5.</w:t>
            </w:r>
          </w:p>
        </w:tc>
        <w:tc>
          <w:tcPr>
            <w:tcW w:w="970" w:type="dxa"/>
            <w:tcBorders>
              <w:top w:val="nil"/>
              <w:left w:val="nil"/>
              <w:bottom w:val="single" w:color="auto" w:sz="4" w:space="0"/>
              <w:right w:val="single" w:color="auto" w:sz="4" w:space="0"/>
            </w:tcBorders>
            <w:noWrap/>
            <w:vAlign w:val="center"/>
          </w:tcPr>
          <w:p w14:paraId="3D0744DB">
            <w:pPr>
              <w:spacing w:after="0" w:line="360" w:lineRule="auto"/>
              <w:jc w:val="center"/>
              <w:rPr>
                <w:rFonts w:ascii="Times New Roman" w:hAnsi="Times New Roman" w:eastAsia="Times New Roman" w:cs="Times New Roman"/>
                <w:color w:val="000000"/>
                <w:sz w:val="14"/>
                <w:szCs w:val="14"/>
                <w:lang w:eastAsia="hr-HR"/>
              </w:rPr>
            </w:pPr>
            <w:r>
              <w:rPr>
                <w:rFonts w:ascii="Times New Roman" w:hAnsi="Times New Roman" w:eastAsia="Times New Roman" w:cs="Times New Roman"/>
                <w:color w:val="000000"/>
                <w:sz w:val="14"/>
                <w:szCs w:val="14"/>
                <w:lang w:eastAsia="hr-HR"/>
              </w:rPr>
              <w:t>7.</w:t>
            </w:r>
          </w:p>
        </w:tc>
      </w:tr>
      <w:tr w14:paraId="5702C8ED">
        <w:tblPrEx>
          <w:tblCellMar>
            <w:top w:w="0" w:type="dxa"/>
            <w:left w:w="108" w:type="dxa"/>
            <w:bottom w:w="0" w:type="dxa"/>
            <w:right w:w="108" w:type="dxa"/>
          </w:tblCellMar>
        </w:tblPrEx>
        <w:trPr>
          <w:trHeight w:val="300" w:hRule="atLeast"/>
          <w:jc w:val="center"/>
        </w:trPr>
        <w:tc>
          <w:tcPr>
            <w:tcW w:w="1000" w:type="dxa"/>
            <w:tcBorders>
              <w:top w:val="nil"/>
              <w:left w:val="single" w:color="auto" w:sz="4" w:space="0"/>
              <w:bottom w:val="single" w:color="auto" w:sz="4" w:space="0"/>
              <w:right w:val="single" w:color="auto" w:sz="4" w:space="0"/>
            </w:tcBorders>
            <w:vAlign w:val="center"/>
          </w:tcPr>
          <w:p w14:paraId="4587C307">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31</w:t>
            </w:r>
          </w:p>
        </w:tc>
        <w:tc>
          <w:tcPr>
            <w:tcW w:w="2688" w:type="dxa"/>
            <w:tcBorders>
              <w:top w:val="nil"/>
              <w:left w:val="nil"/>
              <w:bottom w:val="single" w:color="auto" w:sz="4" w:space="0"/>
              <w:right w:val="single" w:color="auto" w:sz="4" w:space="0"/>
            </w:tcBorders>
            <w:vAlign w:val="center"/>
          </w:tcPr>
          <w:p w14:paraId="0451CC72">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Rashodi za zaposlene</w:t>
            </w:r>
          </w:p>
        </w:tc>
        <w:tc>
          <w:tcPr>
            <w:tcW w:w="1476" w:type="dxa"/>
            <w:tcBorders>
              <w:top w:val="nil"/>
              <w:left w:val="nil"/>
              <w:bottom w:val="single" w:color="auto" w:sz="4" w:space="0"/>
              <w:right w:val="single" w:color="auto" w:sz="4" w:space="0"/>
            </w:tcBorders>
            <w:vAlign w:val="center"/>
          </w:tcPr>
          <w:p w14:paraId="511CF047">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1.611.172,74</w:t>
            </w:r>
          </w:p>
        </w:tc>
        <w:tc>
          <w:tcPr>
            <w:tcW w:w="1642" w:type="dxa"/>
            <w:tcBorders>
              <w:top w:val="nil"/>
              <w:left w:val="nil"/>
              <w:bottom w:val="single" w:color="auto" w:sz="4" w:space="0"/>
              <w:right w:val="single" w:color="auto" w:sz="4" w:space="0"/>
            </w:tcBorders>
            <w:vAlign w:val="center"/>
          </w:tcPr>
          <w:p w14:paraId="5E3ABCD7">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2.017.530,52</w:t>
            </w:r>
          </w:p>
        </w:tc>
        <w:tc>
          <w:tcPr>
            <w:tcW w:w="1492" w:type="dxa"/>
            <w:tcBorders>
              <w:top w:val="nil"/>
              <w:left w:val="nil"/>
              <w:bottom w:val="single" w:color="auto" w:sz="4" w:space="0"/>
              <w:right w:val="single" w:color="auto" w:sz="4" w:space="0"/>
            </w:tcBorders>
            <w:vAlign w:val="center"/>
          </w:tcPr>
          <w:p w14:paraId="0E6B7746">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2.064.013,41</w:t>
            </w:r>
          </w:p>
        </w:tc>
        <w:tc>
          <w:tcPr>
            <w:tcW w:w="970" w:type="dxa"/>
            <w:tcBorders>
              <w:top w:val="nil"/>
              <w:left w:val="nil"/>
              <w:bottom w:val="single" w:color="auto" w:sz="4" w:space="0"/>
              <w:right w:val="single" w:color="auto" w:sz="4" w:space="0"/>
            </w:tcBorders>
            <w:vAlign w:val="center"/>
          </w:tcPr>
          <w:p w14:paraId="4BCB72E0">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102,30</w:t>
            </w:r>
          </w:p>
        </w:tc>
      </w:tr>
      <w:tr w14:paraId="1FB6264B">
        <w:tblPrEx>
          <w:tblCellMar>
            <w:top w:w="0" w:type="dxa"/>
            <w:left w:w="108" w:type="dxa"/>
            <w:bottom w:w="0" w:type="dxa"/>
            <w:right w:w="108" w:type="dxa"/>
          </w:tblCellMar>
        </w:tblPrEx>
        <w:trPr>
          <w:trHeight w:val="300" w:hRule="atLeast"/>
          <w:jc w:val="center"/>
        </w:trPr>
        <w:tc>
          <w:tcPr>
            <w:tcW w:w="1000" w:type="dxa"/>
            <w:tcBorders>
              <w:top w:val="nil"/>
              <w:left w:val="single" w:color="auto" w:sz="4" w:space="0"/>
              <w:bottom w:val="single" w:color="auto" w:sz="4" w:space="0"/>
              <w:right w:val="single" w:color="auto" w:sz="4" w:space="0"/>
            </w:tcBorders>
            <w:vAlign w:val="center"/>
          </w:tcPr>
          <w:p w14:paraId="20E305DD">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32</w:t>
            </w:r>
          </w:p>
        </w:tc>
        <w:tc>
          <w:tcPr>
            <w:tcW w:w="2688" w:type="dxa"/>
            <w:tcBorders>
              <w:top w:val="nil"/>
              <w:left w:val="nil"/>
              <w:bottom w:val="single" w:color="auto" w:sz="4" w:space="0"/>
              <w:right w:val="single" w:color="auto" w:sz="4" w:space="0"/>
            </w:tcBorders>
            <w:vAlign w:val="center"/>
          </w:tcPr>
          <w:p w14:paraId="4064B9FD">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Materijalni rashodi</w:t>
            </w:r>
          </w:p>
        </w:tc>
        <w:tc>
          <w:tcPr>
            <w:tcW w:w="1476" w:type="dxa"/>
            <w:tcBorders>
              <w:top w:val="nil"/>
              <w:left w:val="nil"/>
              <w:bottom w:val="single" w:color="auto" w:sz="4" w:space="0"/>
              <w:right w:val="single" w:color="auto" w:sz="4" w:space="0"/>
            </w:tcBorders>
            <w:vAlign w:val="center"/>
          </w:tcPr>
          <w:p w14:paraId="733FFC6B">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372.650,48</w:t>
            </w:r>
          </w:p>
        </w:tc>
        <w:tc>
          <w:tcPr>
            <w:tcW w:w="1642" w:type="dxa"/>
            <w:tcBorders>
              <w:top w:val="nil"/>
              <w:left w:val="nil"/>
              <w:bottom w:val="single" w:color="auto" w:sz="4" w:space="0"/>
              <w:right w:val="single" w:color="auto" w:sz="4" w:space="0"/>
            </w:tcBorders>
            <w:vAlign w:val="center"/>
          </w:tcPr>
          <w:p w14:paraId="78C38915">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416.051,46</w:t>
            </w:r>
          </w:p>
        </w:tc>
        <w:tc>
          <w:tcPr>
            <w:tcW w:w="1492" w:type="dxa"/>
            <w:tcBorders>
              <w:top w:val="nil"/>
              <w:left w:val="nil"/>
              <w:bottom w:val="single" w:color="auto" w:sz="4" w:space="0"/>
              <w:right w:val="single" w:color="auto" w:sz="4" w:space="0"/>
            </w:tcBorders>
            <w:vAlign w:val="center"/>
          </w:tcPr>
          <w:p w14:paraId="006EE058">
            <w:pPr>
              <w:spacing w:after="0" w:line="360" w:lineRule="auto"/>
              <w:ind w:left="-75"/>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384.895,80</w:t>
            </w:r>
          </w:p>
        </w:tc>
        <w:tc>
          <w:tcPr>
            <w:tcW w:w="970" w:type="dxa"/>
            <w:tcBorders>
              <w:top w:val="nil"/>
              <w:left w:val="nil"/>
              <w:bottom w:val="single" w:color="auto" w:sz="4" w:space="0"/>
              <w:right w:val="single" w:color="auto" w:sz="4" w:space="0"/>
            </w:tcBorders>
            <w:vAlign w:val="center"/>
          </w:tcPr>
          <w:p w14:paraId="38A1513B">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92,51</w:t>
            </w:r>
          </w:p>
        </w:tc>
      </w:tr>
      <w:tr w14:paraId="6F2C618D">
        <w:tblPrEx>
          <w:tblCellMar>
            <w:top w:w="0" w:type="dxa"/>
            <w:left w:w="108" w:type="dxa"/>
            <w:bottom w:w="0" w:type="dxa"/>
            <w:right w:w="108" w:type="dxa"/>
          </w:tblCellMar>
        </w:tblPrEx>
        <w:trPr>
          <w:trHeight w:val="300" w:hRule="atLeast"/>
          <w:jc w:val="center"/>
        </w:trPr>
        <w:tc>
          <w:tcPr>
            <w:tcW w:w="1000" w:type="dxa"/>
            <w:tcBorders>
              <w:top w:val="nil"/>
              <w:left w:val="single" w:color="auto" w:sz="4" w:space="0"/>
              <w:bottom w:val="single" w:color="auto" w:sz="4" w:space="0"/>
              <w:right w:val="single" w:color="auto" w:sz="4" w:space="0"/>
            </w:tcBorders>
            <w:vAlign w:val="center"/>
          </w:tcPr>
          <w:p w14:paraId="29E7D2BB">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34</w:t>
            </w:r>
          </w:p>
        </w:tc>
        <w:tc>
          <w:tcPr>
            <w:tcW w:w="2688" w:type="dxa"/>
            <w:tcBorders>
              <w:top w:val="nil"/>
              <w:left w:val="nil"/>
              <w:bottom w:val="single" w:color="auto" w:sz="4" w:space="0"/>
              <w:right w:val="single" w:color="auto" w:sz="4" w:space="0"/>
            </w:tcBorders>
            <w:vAlign w:val="center"/>
          </w:tcPr>
          <w:p w14:paraId="3D8C0E59">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Financijski rashodi</w:t>
            </w:r>
          </w:p>
        </w:tc>
        <w:tc>
          <w:tcPr>
            <w:tcW w:w="1476" w:type="dxa"/>
            <w:tcBorders>
              <w:top w:val="nil"/>
              <w:left w:val="nil"/>
              <w:bottom w:val="single" w:color="auto" w:sz="4" w:space="0"/>
              <w:right w:val="single" w:color="auto" w:sz="4" w:space="0"/>
            </w:tcBorders>
            <w:vAlign w:val="center"/>
          </w:tcPr>
          <w:p w14:paraId="410F51EF">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5.703,35</w:t>
            </w:r>
          </w:p>
        </w:tc>
        <w:tc>
          <w:tcPr>
            <w:tcW w:w="1642" w:type="dxa"/>
            <w:tcBorders>
              <w:top w:val="nil"/>
              <w:left w:val="nil"/>
              <w:bottom w:val="single" w:color="auto" w:sz="4" w:space="0"/>
              <w:right w:val="single" w:color="auto" w:sz="4" w:space="0"/>
            </w:tcBorders>
            <w:vAlign w:val="center"/>
          </w:tcPr>
          <w:p w14:paraId="03C7235B">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1.236,34</w:t>
            </w:r>
          </w:p>
        </w:tc>
        <w:tc>
          <w:tcPr>
            <w:tcW w:w="1492" w:type="dxa"/>
            <w:tcBorders>
              <w:top w:val="nil"/>
              <w:left w:val="nil"/>
              <w:bottom w:val="single" w:color="auto" w:sz="4" w:space="0"/>
              <w:right w:val="single" w:color="auto" w:sz="4" w:space="0"/>
            </w:tcBorders>
            <w:vAlign w:val="center"/>
          </w:tcPr>
          <w:p w14:paraId="09A41242">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1.311,88</w:t>
            </w:r>
          </w:p>
        </w:tc>
        <w:tc>
          <w:tcPr>
            <w:tcW w:w="970" w:type="dxa"/>
            <w:tcBorders>
              <w:top w:val="nil"/>
              <w:left w:val="nil"/>
              <w:bottom w:val="single" w:color="auto" w:sz="4" w:space="0"/>
              <w:right w:val="single" w:color="auto" w:sz="4" w:space="0"/>
            </w:tcBorders>
            <w:vAlign w:val="center"/>
          </w:tcPr>
          <w:p w14:paraId="765D2A4A">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106,11</w:t>
            </w:r>
          </w:p>
        </w:tc>
      </w:tr>
      <w:tr w14:paraId="299E2722">
        <w:tblPrEx>
          <w:tblCellMar>
            <w:top w:w="0" w:type="dxa"/>
            <w:left w:w="108" w:type="dxa"/>
            <w:bottom w:w="0" w:type="dxa"/>
            <w:right w:w="108" w:type="dxa"/>
          </w:tblCellMar>
        </w:tblPrEx>
        <w:trPr>
          <w:trHeight w:val="900" w:hRule="atLeast"/>
          <w:jc w:val="center"/>
        </w:trPr>
        <w:tc>
          <w:tcPr>
            <w:tcW w:w="1000" w:type="dxa"/>
            <w:tcBorders>
              <w:top w:val="nil"/>
              <w:left w:val="single" w:color="auto" w:sz="4" w:space="0"/>
              <w:bottom w:val="single" w:color="auto" w:sz="4" w:space="0"/>
              <w:right w:val="single" w:color="auto" w:sz="4" w:space="0"/>
            </w:tcBorders>
          </w:tcPr>
          <w:p w14:paraId="11CBAD07">
            <w:pPr>
              <w:spacing w:after="0" w:line="360" w:lineRule="auto"/>
              <w:jc w:val="center"/>
              <w:rPr>
                <w:rFonts w:ascii="Times New Roman" w:hAnsi="Times New Roman" w:eastAsia="Times New Roman" w:cs="Times New Roman"/>
                <w:color w:val="000000"/>
                <w:sz w:val="24"/>
                <w:szCs w:val="24"/>
                <w:lang w:eastAsia="hr-HR"/>
              </w:rPr>
            </w:pPr>
            <w:r>
              <w:t>37</w:t>
            </w:r>
          </w:p>
        </w:tc>
        <w:tc>
          <w:tcPr>
            <w:tcW w:w="2688" w:type="dxa"/>
            <w:tcBorders>
              <w:top w:val="nil"/>
              <w:left w:val="nil"/>
              <w:bottom w:val="single" w:color="auto" w:sz="4" w:space="0"/>
              <w:right w:val="single" w:color="auto" w:sz="4" w:space="0"/>
            </w:tcBorders>
          </w:tcPr>
          <w:p w14:paraId="4DB9ABE6">
            <w:pPr>
              <w:spacing w:after="0" w:line="360" w:lineRule="auto"/>
              <w:jc w:val="center"/>
              <w:rPr>
                <w:rFonts w:ascii="Times New Roman" w:hAnsi="Times New Roman" w:eastAsia="Times New Roman" w:cs="Times New Roman"/>
                <w:color w:val="000000"/>
                <w:sz w:val="24"/>
                <w:szCs w:val="24"/>
                <w:lang w:eastAsia="hr-HR"/>
              </w:rPr>
            </w:pPr>
            <w:r>
              <w:t>Naknade građanima i kućanstvima na temelju osiguranja i druge naknade</w:t>
            </w:r>
          </w:p>
        </w:tc>
        <w:tc>
          <w:tcPr>
            <w:tcW w:w="1476" w:type="dxa"/>
            <w:tcBorders>
              <w:top w:val="nil"/>
              <w:left w:val="nil"/>
              <w:bottom w:val="single" w:color="auto" w:sz="4" w:space="0"/>
              <w:right w:val="single" w:color="auto" w:sz="4" w:space="0"/>
            </w:tcBorders>
            <w:vAlign w:val="center"/>
          </w:tcPr>
          <w:p w14:paraId="670485E5">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24.680,01</w:t>
            </w:r>
          </w:p>
        </w:tc>
        <w:tc>
          <w:tcPr>
            <w:tcW w:w="1642" w:type="dxa"/>
            <w:tcBorders>
              <w:top w:val="nil"/>
              <w:left w:val="nil"/>
              <w:bottom w:val="single" w:color="auto" w:sz="4" w:space="0"/>
              <w:right w:val="single" w:color="auto" w:sz="4" w:space="0"/>
            </w:tcBorders>
            <w:vAlign w:val="center"/>
          </w:tcPr>
          <w:p w14:paraId="33919F3F">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21.235,65</w:t>
            </w:r>
          </w:p>
        </w:tc>
        <w:tc>
          <w:tcPr>
            <w:tcW w:w="1492" w:type="dxa"/>
            <w:tcBorders>
              <w:top w:val="nil"/>
              <w:left w:val="nil"/>
              <w:bottom w:val="single" w:color="auto" w:sz="4" w:space="0"/>
              <w:right w:val="single" w:color="auto" w:sz="4" w:space="0"/>
            </w:tcBorders>
            <w:vAlign w:val="center"/>
          </w:tcPr>
          <w:p w14:paraId="749713CB">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30.570,82</w:t>
            </w:r>
          </w:p>
        </w:tc>
        <w:tc>
          <w:tcPr>
            <w:tcW w:w="970" w:type="dxa"/>
            <w:tcBorders>
              <w:top w:val="nil"/>
              <w:left w:val="nil"/>
              <w:bottom w:val="single" w:color="auto" w:sz="4" w:space="0"/>
              <w:right w:val="single" w:color="auto" w:sz="4" w:space="0"/>
            </w:tcBorders>
            <w:vAlign w:val="center"/>
          </w:tcPr>
          <w:p w14:paraId="62DF3FC4">
            <w:pPr>
              <w:spacing w:after="0" w:line="360" w:lineRule="auto"/>
              <w:jc w:val="center"/>
              <w:rPr>
                <w:rFonts w:ascii="Times New Roman" w:hAnsi="Times New Roman" w:eastAsia="Times New Roman" w:cs="Times New Roman"/>
                <w:color w:val="000000"/>
                <w:sz w:val="24"/>
                <w:szCs w:val="24"/>
                <w:lang w:eastAsia="hr-HR"/>
              </w:rPr>
            </w:pPr>
            <w:r>
              <w:rPr>
                <w:sz w:val="24"/>
                <w:szCs w:val="24"/>
              </w:rPr>
              <w:t>143,96</w:t>
            </w:r>
          </w:p>
        </w:tc>
      </w:tr>
      <w:tr w14:paraId="3C1FD7EE">
        <w:tblPrEx>
          <w:tblCellMar>
            <w:top w:w="0" w:type="dxa"/>
            <w:left w:w="108" w:type="dxa"/>
            <w:bottom w:w="0" w:type="dxa"/>
            <w:right w:w="108" w:type="dxa"/>
          </w:tblCellMar>
        </w:tblPrEx>
        <w:trPr>
          <w:trHeight w:val="300" w:hRule="atLeast"/>
          <w:jc w:val="center"/>
        </w:trPr>
        <w:tc>
          <w:tcPr>
            <w:tcW w:w="1000" w:type="dxa"/>
            <w:tcBorders>
              <w:top w:val="nil"/>
              <w:left w:val="single" w:color="auto" w:sz="4" w:space="0"/>
              <w:bottom w:val="single" w:color="auto" w:sz="4" w:space="0"/>
              <w:right w:val="single" w:color="auto" w:sz="4" w:space="0"/>
            </w:tcBorders>
            <w:vAlign w:val="center"/>
          </w:tcPr>
          <w:p w14:paraId="33501087">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38</w:t>
            </w:r>
          </w:p>
        </w:tc>
        <w:tc>
          <w:tcPr>
            <w:tcW w:w="2688" w:type="dxa"/>
            <w:tcBorders>
              <w:top w:val="nil"/>
              <w:left w:val="nil"/>
              <w:bottom w:val="single" w:color="auto" w:sz="4" w:space="0"/>
              <w:right w:val="single" w:color="auto" w:sz="4" w:space="0"/>
            </w:tcBorders>
            <w:vAlign w:val="center"/>
          </w:tcPr>
          <w:p w14:paraId="2196E855">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Ostali rashodi</w:t>
            </w:r>
          </w:p>
        </w:tc>
        <w:tc>
          <w:tcPr>
            <w:tcW w:w="1476" w:type="dxa"/>
            <w:tcBorders>
              <w:top w:val="nil"/>
              <w:left w:val="nil"/>
              <w:bottom w:val="single" w:color="auto" w:sz="4" w:space="0"/>
              <w:right w:val="single" w:color="auto" w:sz="4" w:space="0"/>
            </w:tcBorders>
            <w:vAlign w:val="center"/>
          </w:tcPr>
          <w:p w14:paraId="355BBDD3">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1.218,65</w:t>
            </w:r>
          </w:p>
        </w:tc>
        <w:tc>
          <w:tcPr>
            <w:tcW w:w="1642" w:type="dxa"/>
            <w:tcBorders>
              <w:top w:val="nil"/>
              <w:left w:val="nil"/>
              <w:bottom w:val="single" w:color="auto" w:sz="4" w:space="0"/>
              <w:right w:val="single" w:color="auto" w:sz="4" w:space="0"/>
            </w:tcBorders>
            <w:vAlign w:val="center"/>
          </w:tcPr>
          <w:p w14:paraId="1B8E234B">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1.242,00</w:t>
            </w:r>
          </w:p>
        </w:tc>
        <w:tc>
          <w:tcPr>
            <w:tcW w:w="1492" w:type="dxa"/>
            <w:tcBorders>
              <w:top w:val="nil"/>
              <w:left w:val="nil"/>
              <w:bottom w:val="single" w:color="auto" w:sz="4" w:space="0"/>
              <w:right w:val="single" w:color="auto" w:sz="4" w:space="0"/>
            </w:tcBorders>
            <w:vAlign w:val="center"/>
          </w:tcPr>
          <w:p w14:paraId="36ECAD58">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1.218,54</w:t>
            </w:r>
          </w:p>
        </w:tc>
        <w:tc>
          <w:tcPr>
            <w:tcW w:w="970" w:type="dxa"/>
            <w:tcBorders>
              <w:top w:val="nil"/>
              <w:left w:val="nil"/>
              <w:bottom w:val="single" w:color="auto" w:sz="4" w:space="0"/>
              <w:right w:val="single" w:color="auto" w:sz="4" w:space="0"/>
            </w:tcBorders>
            <w:vAlign w:val="center"/>
          </w:tcPr>
          <w:p w14:paraId="30C2CC2E">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98,11</w:t>
            </w:r>
          </w:p>
        </w:tc>
      </w:tr>
      <w:tr w14:paraId="355CD989">
        <w:tblPrEx>
          <w:tblCellMar>
            <w:top w:w="0" w:type="dxa"/>
            <w:left w:w="108" w:type="dxa"/>
            <w:bottom w:w="0" w:type="dxa"/>
            <w:right w:w="108" w:type="dxa"/>
          </w:tblCellMar>
        </w:tblPrEx>
        <w:trPr>
          <w:trHeight w:val="600" w:hRule="atLeast"/>
          <w:jc w:val="center"/>
        </w:trPr>
        <w:tc>
          <w:tcPr>
            <w:tcW w:w="1000" w:type="dxa"/>
            <w:tcBorders>
              <w:top w:val="nil"/>
              <w:left w:val="single" w:color="auto" w:sz="4" w:space="0"/>
              <w:bottom w:val="single" w:color="auto" w:sz="4" w:space="0"/>
              <w:right w:val="single" w:color="auto" w:sz="4" w:space="0"/>
            </w:tcBorders>
            <w:vAlign w:val="center"/>
          </w:tcPr>
          <w:p w14:paraId="2CAB896C">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42</w:t>
            </w:r>
          </w:p>
        </w:tc>
        <w:tc>
          <w:tcPr>
            <w:tcW w:w="2688" w:type="dxa"/>
            <w:tcBorders>
              <w:top w:val="nil"/>
              <w:left w:val="nil"/>
              <w:bottom w:val="single" w:color="auto" w:sz="4" w:space="0"/>
              <w:right w:val="single" w:color="auto" w:sz="4" w:space="0"/>
            </w:tcBorders>
            <w:vAlign w:val="center"/>
          </w:tcPr>
          <w:p w14:paraId="4BC3C468">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Rashodi za nabavu proizvedene dugotrajne imovine</w:t>
            </w:r>
          </w:p>
        </w:tc>
        <w:tc>
          <w:tcPr>
            <w:tcW w:w="1476" w:type="dxa"/>
            <w:tcBorders>
              <w:top w:val="nil"/>
              <w:left w:val="nil"/>
              <w:bottom w:val="single" w:color="auto" w:sz="4" w:space="0"/>
              <w:right w:val="single" w:color="auto" w:sz="4" w:space="0"/>
            </w:tcBorders>
            <w:vAlign w:val="center"/>
          </w:tcPr>
          <w:p w14:paraId="3052B142">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11.536,43</w:t>
            </w:r>
          </w:p>
        </w:tc>
        <w:tc>
          <w:tcPr>
            <w:tcW w:w="1642" w:type="dxa"/>
            <w:tcBorders>
              <w:top w:val="nil"/>
              <w:left w:val="nil"/>
              <w:bottom w:val="single" w:color="auto" w:sz="4" w:space="0"/>
              <w:right w:val="single" w:color="auto" w:sz="4" w:space="0"/>
            </w:tcBorders>
            <w:vAlign w:val="center"/>
          </w:tcPr>
          <w:p w14:paraId="6F6704E5">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12.605,60</w:t>
            </w:r>
          </w:p>
        </w:tc>
        <w:tc>
          <w:tcPr>
            <w:tcW w:w="1492" w:type="dxa"/>
            <w:tcBorders>
              <w:top w:val="nil"/>
              <w:left w:val="nil"/>
              <w:bottom w:val="single" w:color="auto" w:sz="4" w:space="0"/>
              <w:right w:val="single" w:color="auto" w:sz="4" w:space="0"/>
            </w:tcBorders>
            <w:vAlign w:val="center"/>
          </w:tcPr>
          <w:p w14:paraId="5E33AFD0">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8.762,00</w:t>
            </w:r>
          </w:p>
        </w:tc>
        <w:tc>
          <w:tcPr>
            <w:tcW w:w="970" w:type="dxa"/>
            <w:tcBorders>
              <w:top w:val="nil"/>
              <w:left w:val="nil"/>
              <w:bottom w:val="single" w:color="auto" w:sz="4" w:space="0"/>
              <w:right w:val="single" w:color="auto" w:sz="4" w:space="0"/>
            </w:tcBorders>
            <w:vAlign w:val="center"/>
          </w:tcPr>
          <w:p w14:paraId="7FECAAAE">
            <w:pPr>
              <w:spacing w:after="0" w:line="360" w:lineRule="auto"/>
              <w:jc w:val="center"/>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69,51</w:t>
            </w:r>
          </w:p>
        </w:tc>
      </w:tr>
      <w:tr w14:paraId="25F10C2F">
        <w:tblPrEx>
          <w:tblCellMar>
            <w:top w:w="0" w:type="dxa"/>
            <w:left w:w="108" w:type="dxa"/>
            <w:bottom w:w="0" w:type="dxa"/>
            <w:right w:w="108" w:type="dxa"/>
          </w:tblCellMar>
        </w:tblPrEx>
        <w:trPr>
          <w:trHeight w:val="300" w:hRule="atLeast"/>
          <w:jc w:val="center"/>
        </w:trPr>
        <w:tc>
          <w:tcPr>
            <w:tcW w:w="1000" w:type="dxa"/>
            <w:tcBorders>
              <w:top w:val="nil"/>
              <w:left w:val="single" w:color="auto" w:sz="4" w:space="0"/>
              <w:bottom w:val="single" w:color="auto" w:sz="4" w:space="0"/>
              <w:right w:val="single" w:color="auto" w:sz="4" w:space="0"/>
            </w:tcBorders>
            <w:vAlign w:val="center"/>
          </w:tcPr>
          <w:p w14:paraId="46122E37">
            <w:pPr>
              <w:rPr>
                <w:rFonts w:ascii="Times New Roman" w:hAnsi="Times New Roman" w:eastAsia="Times New Roman" w:cs="Times New Roman"/>
                <w:color w:val="000000"/>
                <w:sz w:val="24"/>
                <w:szCs w:val="24"/>
                <w:lang w:eastAsia="hr-HR"/>
              </w:rPr>
            </w:pPr>
          </w:p>
        </w:tc>
        <w:tc>
          <w:tcPr>
            <w:tcW w:w="2688" w:type="dxa"/>
            <w:tcBorders>
              <w:top w:val="nil"/>
              <w:left w:val="nil"/>
              <w:bottom w:val="single" w:color="auto" w:sz="4" w:space="0"/>
              <w:right w:val="single" w:color="auto" w:sz="4" w:space="0"/>
            </w:tcBorders>
            <w:vAlign w:val="center"/>
          </w:tcPr>
          <w:p w14:paraId="4283DED4">
            <w:pPr>
              <w:spacing w:after="0" w:line="360" w:lineRule="auto"/>
              <w:jc w:val="center"/>
              <w:rPr>
                <w:rFonts w:ascii="Times New Roman" w:hAnsi="Times New Roman" w:eastAsia="Times New Roman" w:cs="Times New Roman"/>
                <w:b/>
                <w:bCs/>
                <w:color w:val="000000"/>
                <w:sz w:val="24"/>
                <w:szCs w:val="24"/>
                <w:lang w:eastAsia="hr-HR"/>
              </w:rPr>
            </w:pPr>
            <w:r>
              <w:rPr>
                <w:rFonts w:ascii="Times New Roman" w:hAnsi="Times New Roman" w:eastAsia="Times New Roman" w:cs="Times New Roman"/>
                <w:b/>
                <w:bCs/>
                <w:color w:val="000000"/>
                <w:sz w:val="24"/>
                <w:szCs w:val="24"/>
                <w:lang w:eastAsia="hr-HR"/>
              </w:rPr>
              <w:t>UKUPNO RASHODI</w:t>
            </w:r>
          </w:p>
        </w:tc>
        <w:tc>
          <w:tcPr>
            <w:tcW w:w="1476" w:type="dxa"/>
            <w:tcBorders>
              <w:top w:val="nil"/>
              <w:left w:val="nil"/>
              <w:bottom w:val="single" w:color="auto" w:sz="4" w:space="0"/>
              <w:right w:val="single" w:color="auto" w:sz="4" w:space="0"/>
            </w:tcBorders>
            <w:vAlign w:val="center"/>
          </w:tcPr>
          <w:p w14:paraId="5808459A">
            <w:pPr>
              <w:spacing w:after="0" w:line="360" w:lineRule="auto"/>
              <w:jc w:val="center"/>
              <w:rPr>
                <w:rFonts w:ascii="Times New Roman" w:hAnsi="Times New Roman" w:eastAsia="Times New Roman" w:cs="Times New Roman"/>
                <w:b/>
                <w:bCs/>
                <w:color w:val="000000"/>
                <w:sz w:val="24"/>
                <w:szCs w:val="24"/>
                <w:lang w:eastAsia="hr-HR"/>
              </w:rPr>
            </w:pPr>
            <w:r>
              <w:rPr>
                <w:rFonts w:ascii="Times New Roman" w:hAnsi="Times New Roman" w:eastAsia="Times New Roman" w:cs="Times New Roman"/>
                <w:b/>
                <w:bCs/>
                <w:color w:val="000000"/>
                <w:sz w:val="24"/>
                <w:szCs w:val="24"/>
                <w:lang w:eastAsia="hr-HR"/>
              </w:rPr>
              <w:t>2.026.961,66</w:t>
            </w:r>
          </w:p>
        </w:tc>
        <w:tc>
          <w:tcPr>
            <w:tcW w:w="1642" w:type="dxa"/>
            <w:tcBorders>
              <w:top w:val="nil"/>
              <w:left w:val="nil"/>
              <w:bottom w:val="single" w:color="auto" w:sz="4" w:space="0"/>
              <w:right w:val="single" w:color="auto" w:sz="4" w:space="0"/>
            </w:tcBorders>
            <w:vAlign w:val="center"/>
          </w:tcPr>
          <w:p w14:paraId="506315F0">
            <w:pPr>
              <w:spacing w:after="0" w:line="360" w:lineRule="auto"/>
              <w:jc w:val="center"/>
              <w:rPr>
                <w:rFonts w:ascii="Times New Roman" w:hAnsi="Times New Roman" w:eastAsia="Times New Roman" w:cs="Times New Roman"/>
                <w:b/>
                <w:bCs/>
                <w:color w:val="000000"/>
                <w:sz w:val="24"/>
                <w:szCs w:val="24"/>
                <w:lang w:eastAsia="hr-HR"/>
              </w:rPr>
            </w:pPr>
            <w:r>
              <w:rPr>
                <w:rFonts w:ascii="Times New Roman" w:hAnsi="Times New Roman" w:eastAsia="Times New Roman" w:cs="Times New Roman"/>
                <w:b/>
                <w:bCs/>
                <w:color w:val="000000"/>
                <w:sz w:val="24"/>
                <w:szCs w:val="24"/>
                <w:lang w:eastAsia="hr-HR"/>
              </w:rPr>
              <w:t>2.469.901,57</w:t>
            </w:r>
          </w:p>
        </w:tc>
        <w:tc>
          <w:tcPr>
            <w:tcW w:w="1492" w:type="dxa"/>
            <w:tcBorders>
              <w:top w:val="nil"/>
              <w:left w:val="nil"/>
              <w:bottom w:val="single" w:color="auto" w:sz="4" w:space="0"/>
              <w:right w:val="single" w:color="auto" w:sz="4" w:space="0"/>
            </w:tcBorders>
            <w:vAlign w:val="center"/>
          </w:tcPr>
          <w:p w14:paraId="044D6EBC">
            <w:pPr>
              <w:spacing w:after="0" w:line="360" w:lineRule="auto"/>
              <w:jc w:val="center"/>
              <w:rPr>
                <w:rFonts w:ascii="Times New Roman" w:hAnsi="Times New Roman" w:eastAsia="Times New Roman" w:cs="Times New Roman"/>
                <w:b/>
                <w:bCs/>
                <w:color w:val="000000"/>
                <w:sz w:val="24"/>
                <w:szCs w:val="24"/>
                <w:lang w:eastAsia="hr-HR"/>
              </w:rPr>
            </w:pPr>
            <w:r>
              <w:rPr>
                <w:rFonts w:ascii="Times New Roman" w:hAnsi="Times New Roman" w:eastAsia="Times New Roman" w:cs="Times New Roman"/>
                <w:b/>
                <w:bCs/>
                <w:color w:val="000000"/>
                <w:sz w:val="24"/>
                <w:szCs w:val="24"/>
                <w:lang w:eastAsia="hr-HR"/>
              </w:rPr>
              <w:t>2.490.772,45</w:t>
            </w:r>
          </w:p>
        </w:tc>
        <w:tc>
          <w:tcPr>
            <w:tcW w:w="970" w:type="dxa"/>
            <w:tcBorders>
              <w:top w:val="nil"/>
              <w:left w:val="nil"/>
              <w:bottom w:val="single" w:color="auto" w:sz="4" w:space="0"/>
              <w:right w:val="single" w:color="auto" w:sz="4" w:space="0"/>
            </w:tcBorders>
            <w:vAlign w:val="center"/>
          </w:tcPr>
          <w:p w14:paraId="299DCDE8">
            <w:pPr>
              <w:spacing w:after="0" w:line="360" w:lineRule="auto"/>
              <w:jc w:val="center"/>
              <w:rPr>
                <w:rFonts w:ascii="Times New Roman" w:hAnsi="Times New Roman" w:eastAsia="Times New Roman" w:cs="Times New Roman"/>
                <w:b/>
                <w:bCs/>
                <w:color w:val="000000"/>
                <w:sz w:val="24"/>
                <w:szCs w:val="24"/>
                <w:lang w:eastAsia="hr-HR"/>
              </w:rPr>
            </w:pPr>
            <w:r>
              <w:rPr>
                <w:rFonts w:ascii="Times New Roman" w:hAnsi="Times New Roman" w:eastAsia="Times New Roman" w:cs="Times New Roman"/>
                <w:b/>
                <w:bCs/>
                <w:color w:val="000000"/>
                <w:sz w:val="24"/>
                <w:szCs w:val="24"/>
                <w:lang w:eastAsia="hr-HR"/>
              </w:rPr>
              <w:t>100,85</w:t>
            </w:r>
          </w:p>
        </w:tc>
      </w:tr>
    </w:tbl>
    <w:p w14:paraId="2B6D24D1">
      <w:pPr>
        <w:spacing w:line="360" w:lineRule="auto"/>
        <w:jc w:val="both"/>
        <w:rPr>
          <w:rFonts w:ascii="Times New Roman" w:hAnsi="Times New Roman" w:cs="Times New Roman" w:eastAsiaTheme="minorHAnsi"/>
          <w:sz w:val="24"/>
          <w:szCs w:val="24"/>
          <w:lang w:eastAsia="en-US"/>
        </w:rPr>
      </w:pPr>
    </w:p>
    <w:p w14:paraId="152A33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Ukupni rashodi i izdaci izvještajnog razdoblja realizirani su u iznosu od 2.490.772,45 eura što u odnosu na plan čini 100,85%.</w:t>
      </w:r>
    </w:p>
    <w:p w14:paraId="0EFA29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Rashodi za zaposlene (skupina 31) ostvareni su 102,30% u odnosu na plan.</w:t>
      </w:r>
    </w:p>
    <w:p w14:paraId="3342C2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Materijalni rashodi (skupina 32) ostvareno su 92,51% u odnosu na plan</w:t>
      </w:r>
    </w:p>
    <w:p w14:paraId="4EC62F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Financijski rashodi (skupina 34) realizirani su 106,11% o donosu na plan.</w:t>
      </w:r>
    </w:p>
    <w:p w14:paraId="314E51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Naknade građanima i kućanstvima na temelju osiguranja i druge naknade (skupina 37) ostvareno 143,96% u odnosu na plan, u 2024. godini imamo prijevoz učenika TUR i više je naručeno radnih udžbenika.</w:t>
      </w:r>
    </w:p>
    <w:p w14:paraId="6F571F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Ostali rashodi (skupina 38) ostvareno 98,11% u odnosu na plan</w:t>
      </w:r>
    </w:p>
    <w:p w14:paraId="7E7B9C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Rashodi za nabavu proizvedene dugotrajne imovine (skupina 42) ostvareno 69,51% u odnosu na plan nismo u potpunosti utrošili višak sredstava iz donacija.</w:t>
      </w:r>
    </w:p>
    <w:p w14:paraId="678CE33A">
      <w:pPr>
        <w:spacing w:after="0" w:line="360" w:lineRule="auto"/>
        <w:jc w:val="both"/>
        <w:rPr>
          <w:rFonts w:ascii="Times New Roman" w:hAnsi="Times New Roman" w:cs="Times New Roman"/>
          <w:sz w:val="24"/>
          <w:szCs w:val="24"/>
        </w:rPr>
      </w:pPr>
    </w:p>
    <w:p w14:paraId="56B08B68">
      <w:pPr>
        <w:spacing w:after="0" w:line="360" w:lineRule="auto"/>
        <w:jc w:val="both"/>
        <w:rPr>
          <w:rFonts w:ascii="Times New Roman" w:hAnsi="Times New Roman" w:cs="Times New Roman"/>
          <w:sz w:val="24"/>
          <w:szCs w:val="24"/>
        </w:rPr>
      </w:pPr>
    </w:p>
    <w:p w14:paraId="554A5103">
      <w:pPr>
        <w:spacing w:after="0" w:line="360" w:lineRule="auto"/>
        <w:jc w:val="both"/>
        <w:rPr>
          <w:rFonts w:ascii="Times New Roman" w:hAnsi="Times New Roman" w:cs="Times New Roman"/>
          <w:sz w:val="24"/>
          <w:szCs w:val="24"/>
        </w:rPr>
      </w:pPr>
    </w:p>
    <w:p w14:paraId="1008CB68">
      <w:pPr>
        <w:pStyle w:val="8"/>
        <w:numPr>
          <w:ilvl w:val="1"/>
          <w:numId w:val="3"/>
        </w:numPr>
        <w:spacing w:after="160" w:line="360" w:lineRule="auto"/>
        <w:jc w:val="both"/>
        <w:rPr>
          <w:rFonts w:ascii="Times New Roman" w:hAnsi="Times New Roman" w:cs="Times New Roman"/>
          <w:sz w:val="24"/>
          <w:szCs w:val="24"/>
        </w:rPr>
      </w:pPr>
      <w:r>
        <w:rPr>
          <w:rFonts w:ascii="Times New Roman" w:hAnsi="Times New Roman" w:cs="Times New Roman"/>
          <w:b/>
          <w:bCs/>
          <w:sz w:val="24"/>
          <w:szCs w:val="24"/>
        </w:rPr>
        <w:t>RAČUN PRIHODI I RASHODI PO IZVORIMA</w:t>
      </w:r>
    </w:p>
    <w:p w14:paraId="06BBACFD">
      <w:pPr>
        <w:spacing w:after="16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Izvor 11 - opći prihodi i primici - prihodi i rashodi ostvareni 100,73% u odnosu na plan</w:t>
      </w:r>
    </w:p>
    <w:p w14:paraId="4352848D">
      <w:pPr>
        <w:jc w:val="both"/>
        <w:rPr>
          <w:rFonts w:ascii="Times New Roman" w:hAnsi="Times New Roman" w:cs="Times New Roman"/>
          <w:sz w:val="24"/>
          <w:szCs w:val="24"/>
        </w:rPr>
      </w:pPr>
      <w:r>
        <w:rPr>
          <w:rFonts w:ascii="Times New Roman" w:hAnsi="Times New Roman" w:cs="Times New Roman"/>
          <w:sz w:val="24"/>
          <w:szCs w:val="24"/>
        </w:rPr>
        <w:t>Izvor 32 - vlastiti prihodi – ostvareni 102,70% u odnosu na plan</w:t>
      </w:r>
    </w:p>
    <w:p w14:paraId="4FB3F5CE">
      <w:pPr>
        <w:jc w:val="both"/>
        <w:rPr>
          <w:rFonts w:ascii="Times New Roman" w:hAnsi="Times New Roman" w:cs="Times New Roman"/>
          <w:sz w:val="24"/>
          <w:szCs w:val="24"/>
        </w:rPr>
      </w:pPr>
      <w:r>
        <w:rPr>
          <w:rFonts w:ascii="Times New Roman" w:hAnsi="Times New Roman" w:cs="Times New Roman"/>
          <w:sz w:val="24"/>
          <w:szCs w:val="24"/>
        </w:rPr>
        <w:t xml:space="preserve"> Izvor 43 - prihodi za posebne namjene – plan izvršen u visini 95,36% zbog računa za prosinac koji su izdani krajem mjeseca prosinca i samim tim nisu naplaćeni.</w:t>
      </w:r>
    </w:p>
    <w:p w14:paraId="45E9BED8">
      <w:pPr>
        <w:jc w:val="both"/>
        <w:rPr>
          <w:rFonts w:ascii="Times New Roman" w:hAnsi="Times New Roman" w:cs="Times New Roman"/>
          <w:sz w:val="24"/>
          <w:szCs w:val="24"/>
        </w:rPr>
      </w:pPr>
      <w:r>
        <w:rPr>
          <w:rFonts w:ascii="Times New Roman" w:hAnsi="Times New Roman" w:cs="Times New Roman"/>
          <w:sz w:val="24"/>
          <w:szCs w:val="24"/>
        </w:rPr>
        <w:t xml:space="preserve">Izvor 44 - prihodi za decentralizirane funkcije -  izvršenje plana je 103,93% </w:t>
      </w:r>
    </w:p>
    <w:p w14:paraId="31CD38B2">
      <w:pPr>
        <w:jc w:val="both"/>
        <w:rPr>
          <w:rFonts w:ascii="Times New Roman" w:hAnsi="Times New Roman" w:cs="Times New Roman"/>
          <w:sz w:val="24"/>
          <w:szCs w:val="24"/>
        </w:rPr>
      </w:pPr>
      <w:r>
        <w:rPr>
          <w:rFonts w:ascii="Times New Roman" w:hAnsi="Times New Roman" w:cs="Times New Roman"/>
          <w:sz w:val="24"/>
          <w:szCs w:val="24"/>
        </w:rPr>
        <w:t>Izvor 48 – prenesena sredstva – namjenski prihodi ostvareni u iznosu 3.357,05 eura, nisu bila planirana budući da ove godine nismo imali drugi rebalans.</w:t>
      </w:r>
    </w:p>
    <w:p w14:paraId="7B1974CE">
      <w:pPr>
        <w:jc w:val="both"/>
        <w:rPr>
          <w:rFonts w:ascii="Times New Roman" w:hAnsi="Times New Roman" w:cs="Times New Roman"/>
          <w:sz w:val="24"/>
          <w:szCs w:val="24"/>
        </w:rPr>
      </w:pPr>
      <w:r>
        <w:rPr>
          <w:rFonts w:ascii="Times New Roman" w:hAnsi="Times New Roman" w:cs="Times New Roman"/>
          <w:sz w:val="24"/>
          <w:szCs w:val="24"/>
        </w:rPr>
        <w:t>Izvor 51 – pomoći ostvareno 146,23% u odnosu na plan, nije bilo drugog rebalansa i nismo mogli izvršiti korekciju plana.</w:t>
      </w:r>
    </w:p>
    <w:p w14:paraId="334B4A99">
      <w:pPr>
        <w:jc w:val="both"/>
        <w:rPr>
          <w:rFonts w:ascii="Times New Roman" w:hAnsi="Times New Roman" w:cs="Times New Roman"/>
          <w:sz w:val="24"/>
          <w:szCs w:val="24"/>
        </w:rPr>
      </w:pPr>
      <w:r>
        <w:rPr>
          <w:rFonts w:ascii="Times New Roman" w:hAnsi="Times New Roman" w:cs="Times New Roman"/>
          <w:sz w:val="24"/>
          <w:szCs w:val="24"/>
        </w:rPr>
        <w:t>Izvor 52 - pomoći  - izvršenje plana je 101,09%.</w:t>
      </w:r>
    </w:p>
    <w:p w14:paraId="3F37E278">
      <w:pPr>
        <w:jc w:val="both"/>
        <w:rPr>
          <w:rFonts w:ascii="Times New Roman" w:hAnsi="Times New Roman" w:cs="Times New Roman"/>
          <w:sz w:val="24"/>
          <w:szCs w:val="24"/>
        </w:rPr>
      </w:pPr>
      <w:r>
        <w:rPr>
          <w:rFonts w:ascii="Times New Roman" w:hAnsi="Times New Roman" w:cs="Times New Roman"/>
          <w:sz w:val="24"/>
          <w:szCs w:val="24"/>
        </w:rPr>
        <w:t>Izvor 58 – prenesena sredstva pomoći ostvarena 43,08 % plana, preraspodjela sredstava za pomoćnike u nastavi po uputama PGŽ.</w:t>
      </w:r>
    </w:p>
    <w:p w14:paraId="6A799929">
      <w:pPr>
        <w:jc w:val="both"/>
        <w:rPr>
          <w:rFonts w:ascii="Times New Roman" w:hAnsi="Times New Roman" w:cs="Times New Roman"/>
          <w:sz w:val="24"/>
          <w:szCs w:val="24"/>
        </w:rPr>
      </w:pPr>
      <w:r>
        <w:rPr>
          <w:rFonts w:ascii="Times New Roman" w:hAnsi="Times New Roman" w:cs="Times New Roman"/>
          <w:sz w:val="24"/>
          <w:szCs w:val="24"/>
        </w:rPr>
        <w:t>Izvor 62 – donacije dobili smo donaciju koja nije bila planirana, pa je stoga došlo do odstupanja u odnosu na plan.</w:t>
      </w:r>
    </w:p>
    <w:p w14:paraId="55F5A1F8">
      <w:pPr>
        <w:jc w:val="both"/>
        <w:rPr>
          <w:rFonts w:ascii="Times New Roman" w:hAnsi="Times New Roman" w:cs="Times New Roman"/>
          <w:sz w:val="24"/>
          <w:szCs w:val="24"/>
        </w:rPr>
      </w:pPr>
      <w:r>
        <w:rPr>
          <w:rFonts w:ascii="Times New Roman" w:hAnsi="Times New Roman" w:cs="Times New Roman"/>
          <w:sz w:val="24"/>
          <w:szCs w:val="24"/>
        </w:rPr>
        <w:t>Izvor 73 - prihodi od prodaje ili zamjene nefin. imovine i naknada s naslova osiguranja – plan ostvaren 101,30%.</w:t>
      </w:r>
    </w:p>
    <w:p w14:paraId="07CADB75">
      <w:pPr>
        <w:jc w:val="both"/>
        <w:rPr>
          <w:rFonts w:ascii="Times New Roman" w:hAnsi="Times New Roman" w:cs="Times New Roman"/>
          <w:sz w:val="24"/>
          <w:szCs w:val="24"/>
        </w:rPr>
      </w:pPr>
    </w:p>
    <w:p w14:paraId="614BA002">
      <w:pPr>
        <w:jc w:val="both"/>
        <w:rPr>
          <w:rFonts w:ascii="Times New Roman" w:hAnsi="Times New Roman" w:cs="Times New Roman"/>
          <w:b/>
          <w:sz w:val="24"/>
          <w:szCs w:val="24"/>
        </w:rPr>
      </w:pPr>
      <w:r>
        <w:rPr>
          <w:rFonts w:ascii="Times New Roman" w:hAnsi="Times New Roman" w:cs="Times New Roman"/>
          <w:b/>
          <w:sz w:val="24"/>
          <w:szCs w:val="24"/>
        </w:rPr>
        <w:t>1.4 RASHODI PREMA FUNKCIJSKOJ KLASIFIKACIJI</w:t>
      </w:r>
    </w:p>
    <w:p w14:paraId="537A579C">
      <w:pPr>
        <w:jc w:val="both"/>
        <w:rPr>
          <w:rFonts w:ascii="Arial" w:hAnsi="Arial" w:cs="Arial"/>
        </w:rPr>
      </w:pPr>
      <w:r>
        <w:rPr>
          <w:rFonts w:ascii="Times New Roman" w:hAnsi="Times New Roman" w:cs="Times New Roman"/>
          <w:sz w:val="24"/>
          <w:szCs w:val="24"/>
        </w:rPr>
        <w:t>Rashodi prema funkcijskoj klasifikaciji izvršeni su u odnosu na plan u visini 100,85%.</w:t>
      </w:r>
    </w:p>
    <w:p w14:paraId="118AD004">
      <w:pPr>
        <w:spacing w:after="0" w:line="360" w:lineRule="auto"/>
        <w:jc w:val="both"/>
        <w:rPr>
          <w:rFonts w:ascii="Times New Roman" w:hAnsi="Times New Roman" w:cs="Times New Roman"/>
          <w:b/>
          <w:bCs/>
          <w:sz w:val="24"/>
          <w:szCs w:val="24"/>
        </w:rPr>
      </w:pPr>
    </w:p>
    <w:p w14:paraId="2E1AD422">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 POSEBNI DIO PRORAČUNA</w:t>
      </w:r>
      <w:r>
        <w:rPr>
          <w:rFonts w:ascii="Times New Roman" w:hAnsi="Times New Roman" w:cs="Times New Roman"/>
          <w:sz w:val="24"/>
          <w:szCs w:val="24"/>
        </w:rPr>
        <w:t xml:space="preserve"> </w:t>
      </w:r>
    </w:p>
    <w:p w14:paraId="5648F85D">
      <w:pPr>
        <w:spacing w:after="0" w:line="360" w:lineRule="auto"/>
        <w:jc w:val="both"/>
        <w:rPr>
          <w:rFonts w:ascii="Times New Roman" w:hAnsi="Times New Roman" w:cs="Times New Roman"/>
          <w:sz w:val="24"/>
          <w:szCs w:val="24"/>
        </w:rPr>
      </w:pPr>
    </w:p>
    <w:p w14:paraId="486CE3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Posebni dio proračuna sadrži podatke izvršenja rashoda i izdataka po organizacijskoj klasifikaciji i programskoj klasifikaciji – rashodi i izdaci unutar razdjela i glava proračuna prikazuju se po programima, aktivnostima i računima računskog plana proračuna. U nastavku se daje obrazloženje realizacije rashoda i izdataka po navedenim proračunskim klasifikacijama.</w:t>
      </w:r>
    </w:p>
    <w:p w14:paraId="146905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 posebnom dijelu, za razliku od općeg dijela proračuna, ne prikazuju se usporedni podaci izvještajnog razdoblja prethodne godine.</w:t>
      </w:r>
    </w:p>
    <w:p w14:paraId="1BF86871">
      <w:pPr>
        <w:spacing w:line="360" w:lineRule="auto"/>
        <w:jc w:val="both"/>
        <w:rPr>
          <w:rFonts w:ascii="Times New Roman" w:hAnsi="Times New Roman" w:cs="Times New Roman"/>
          <w:sz w:val="24"/>
          <w:szCs w:val="24"/>
        </w:rPr>
      </w:pPr>
    </w:p>
    <w:p w14:paraId="76B4256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PROGRAM 5301 OSNOVNOŠKOLSKO OBRAZOVANJE</w:t>
      </w:r>
    </w:p>
    <w:p w14:paraId="4D9770A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Aktivnost A530101 Osiguranje uvjeta rada</w:t>
      </w:r>
    </w:p>
    <w:p w14:paraId="45C9A7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Sadrži sve rashode poslovanja koji se financiranju iz državnog proračuna, a odnose se na plaće za zaposlenike i materijalna prava, mentorstvo učitelja, financiranje nabavke udžbenika, školsku marendu za učenike, lektiru i prihodi za voditelja aktiva razredne nastave. Sadrže rashode poslovanja za decentralizirane funkcije koje financira PGŽ, ove godine nam je osim sa izvora 4411, dodijeljeno sa izvora 111 dodatnih 16.031,04 eura i 3.357,05 eura za energiju iz prenesenih sredstava PGŽ. Utrošeno je za materijalne troškove sa izvora 483 prenesena sredstva namjenski prihodi 3.357,05 eura izvora 431 prihodi za posebne namjene. Sa izvora 621 donacije utrošeno je 59,98% više od planiranog budući da nam je doznačeno više sredstava od donacija.   Ukupno realizirani rashodi za osiguravanje uvjeta rada ove glave iznose 99,77%  u odnosu na plan. </w:t>
      </w:r>
    </w:p>
    <w:p w14:paraId="642C1532">
      <w:pPr>
        <w:spacing w:after="0" w:line="360" w:lineRule="auto"/>
        <w:jc w:val="both"/>
        <w:rPr>
          <w:rFonts w:ascii="Times New Roman" w:hAnsi="Times New Roman" w:cs="Times New Roman"/>
          <w:b/>
          <w:bCs/>
          <w:sz w:val="24"/>
          <w:szCs w:val="24"/>
        </w:rPr>
      </w:pPr>
    </w:p>
    <w:p w14:paraId="08F746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Aktivnost A53106 Nabava udžbenika za učenike OŠ</w:t>
      </w:r>
    </w:p>
    <w:p w14:paraId="53ACCC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Sadrži rashode poslovanja koji se odnose na nabavku novih radnih udžbenika i dokup udžbenika, a  realizirani su 102,95% u odnosu na plan. </w:t>
      </w:r>
    </w:p>
    <w:p w14:paraId="58171C70">
      <w:pPr>
        <w:spacing w:line="360" w:lineRule="auto"/>
        <w:jc w:val="both"/>
        <w:rPr>
          <w:rFonts w:ascii="Times New Roman" w:hAnsi="Times New Roman" w:cs="Times New Roman"/>
          <w:b/>
          <w:bCs/>
          <w:sz w:val="24"/>
          <w:szCs w:val="24"/>
        </w:rPr>
      </w:pPr>
    </w:p>
    <w:p w14:paraId="0C1471A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Aktivnost A530107 Prehrana za učenike u osnovnim školama</w:t>
      </w:r>
    </w:p>
    <w:p w14:paraId="19ED63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Prehranu za učenike u osnovnim školama financirana je sa izvora 521 pomoći MZO realizirani su 82,68% u odnosu na plan, nije bilo rebalansa pa nismo bili u mogućnosti izmijeniti plan. </w:t>
      </w:r>
    </w:p>
    <w:p w14:paraId="234E6D1F">
      <w:pPr>
        <w:spacing w:line="360" w:lineRule="auto"/>
        <w:jc w:val="both"/>
        <w:rPr>
          <w:rFonts w:ascii="Times New Roman" w:hAnsi="Times New Roman" w:cs="Times New Roman"/>
          <w:sz w:val="24"/>
          <w:szCs w:val="24"/>
        </w:rPr>
      </w:pPr>
    </w:p>
    <w:p w14:paraId="2C803744">
      <w:pPr>
        <w:spacing w:line="360" w:lineRule="auto"/>
        <w:jc w:val="both"/>
        <w:rPr>
          <w:rFonts w:ascii="Times New Roman" w:hAnsi="Times New Roman" w:cs="Times New Roman"/>
          <w:sz w:val="24"/>
          <w:szCs w:val="24"/>
        </w:rPr>
      </w:pPr>
    </w:p>
    <w:p w14:paraId="238EBEC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PROGRAM 5302 UNAPREĐENJE KVALITETE ODGOJNO OBRAZOVNOG SUSTAVA</w:t>
      </w:r>
    </w:p>
    <w:p w14:paraId="10FFA17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Aktivnost A530202 Produženi boravak učenika</w:t>
      </w:r>
    </w:p>
    <w:p w14:paraId="2D1DC665">
      <w:pPr>
        <w:spacing w:line="360" w:lineRule="auto"/>
        <w:jc w:val="both"/>
        <w:rPr>
          <w:rFonts w:ascii="Times New Roman" w:hAnsi="Times New Roman" w:cs="Times New Roman"/>
          <w:sz w:val="24"/>
          <w:szCs w:val="24"/>
        </w:rPr>
      </w:pPr>
      <w:r>
        <w:rPr>
          <w:rFonts w:ascii="Times New Roman" w:hAnsi="Times New Roman" w:cs="Times New Roman"/>
          <w:sz w:val="24"/>
          <w:szCs w:val="24"/>
        </w:rPr>
        <w:t>Program produženog boravka učenika financira se uplatama roditelja, sredstvima lokalne samouprave općina Matulji ostvarenje 92,99% u odnosu na plan.</w:t>
      </w:r>
    </w:p>
    <w:p w14:paraId="1667808B">
      <w:pPr>
        <w:spacing w:after="0" w:line="360" w:lineRule="auto"/>
        <w:jc w:val="both"/>
        <w:rPr>
          <w:rFonts w:ascii="Times New Roman" w:hAnsi="Times New Roman" w:cs="Times New Roman"/>
          <w:sz w:val="24"/>
          <w:szCs w:val="24"/>
        </w:rPr>
      </w:pPr>
    </w:p>
    <w:p w14:paraId="4E09F77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Aktivnost A530209 Sufinanciranje pomoćnika u nastavi</w:t>
      </w:r>
    </w:p>
    <w:p w14:paraId="7B37D13B">
      <w:pPr>
        <w:spacing w:after="0" w:line="360" w:lineRule="auto"/>
        <w:jc w:val="both"/>
        <w:rPr>
          <w:rFonts w:ascii="Times New Roman" w:hAnsi="Times New Roman" w:cs="Times New Roman"/>
          <w:b/>
          <w:bCs/>
          <w:sz w:val="24"/>
          <w:szCs w:val="24"/>
        </w:rPr>
      </w:pPr>
    </w:p>
    <w:p w14:paraId="3CE1BCB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S</w:t>
      </w:r>
      <w:r>
        <w:rPr>
          <w:rFonts w:ascii="Times New Roman" w:hAnsi="Times New Roman" w:cs="Times New Roman"/>
          <w:sz w:val="24"/>
          <w:szCs w:val="24"/>
        </w:rPr>
        <w:t xml:space="preserve">adrži rashode poslovanja koji se odnose na plaću za deset  pomoćnika u nastavi iz raznih izvora koje financira Primorsko goranska županija. Ukupno realizirani rashodi iznose 123,00 % u odnosu na plan. </w:t>
      </w:r>
    </w:p>
    <w:p w14:paraId="3B12D26A">
      <w:pPr>
        <w:spacing w:after="0" w:line="360" w:lineRule="auto"/>
        <w:jc w:val="both"/>
        <w:rPr>
          <w:rFonts w:ascii="Times New Roman" w:hAnsi="Times New Roman" w:cs="Times New Roman"/>
          <w:sz w:val="24"/>
          <w:szCs w:val="24"/>
        </w:rPr>
      </w:pPr>
    </w:p>
    <w:p w14:paraId="5C1EFCF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Aktivnost A530222  Programi školskog kurikuluma</w:t>
      </w:r>
    </w:p>
    <w:p w14:paraId="2BDC062C">
      <w:pPr>
        <w:spacing w:after="0" w:line="360" w:lineRule="auto"/>
        <w:jc w:val="both"/>
        <w:rPr>
          <w:rFonts w:ascii="Times New Roman" w:hAnsi="Times New Roman" w:cs="Times New Roman"/>
          <w:b/>
          <w:bCs/>
          <w:sz w:val="24"/>
          <w:szCs w:val="24"/>
        </w:rPr>
      </w:pPr>
    </w:p>
    <w:p w14:paraId="32E589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 sklopu projekta Programa školskog kurikuluma financirana je likovna i glazbena radionica te rashodi za Medni dan za učenike prvih razreda. Realizacija programa je 113,81% u odnosu na plan. Pomoći iz državnog proračuna izvor 512 a odnosi se na Medni dan nije bio u planu.</w:t>
      </w:r>
    </w:p>
    <w:p w14:paraId="2AD5B9FF">
      <w:pPr>
        <w:spacing w:after="0" w:line="360" w:lineRule="auto"/>
        <w:jc w:val="both"/>
        <w:rPr>
          <w:rFonts w:ascii="Times New Roman" w:hAnsi="Times New Roman" w:cs="Times New Roman"/>
          <w:sz w:val="24"/>
          <w:szCs w:val="24"/>
        </w:rPr>
      </w:pPr>
    </w:p>
    <w:p w14:paraId="4249BA52">
      <w:pPr>
        <w:spacing w:after="0" w:line="360" w:lineRule="auto"/>
        <w:jc w:val="both"/>
        <w:rPr>
          <w:rFonts w:ascii="Times New Roman" w:hAnsi="Times New Roman" w:cs="Times New Roman"/>
          <w:sz w:val="24"/>
          <w:szCs w:val="24"/>
        </w:rPr>
      </w:pPr>
    </w:p>
    <w:p w14:paraId="466F547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Aktivnost A530239 Županijska škola plivanja</w:t>
      </w:r>
    </w:p>
    <w:p w14:paraId="380824D5">
      <w:pPr>
        <w:spacing w:line="360" w:lineRule="auto"/>
        <w:jc w:val="both"/>
        <w:rPr>
          <w:rFonts w:ascii="Times New Roman" w:hAnsi="Times New Roman" w:cs="Times New Roman"/>
          <w:sz w:val="24"/>
          <w:szCs w:val="24"/>
        </w:rPr>
      </w:pPr>
      <w:r>
        <w:rPr>
          <w:rFonts w:ascii="Times New Roman" w:hAnsi="Times New Roman" w:cs="Times New Roman"/>
          <w:sz w:val="24"/>
          <w:szCs w:val="24"/>
        </w:rPr>
        <w:t>Škola je od ove godine uključena u projekt Županijska škola plivanja. Uključeni su svi učenici drugih razreda. Projekt je realiziran 100,00% u odnosu na plan.</w:t>
      </w:r>
    </w:p>
    <w:p w14:paraId="2B79E3C9">
      <w:pPr>
        <w:spacing w:line="360" w:lineRule="auto"/>
        <w:jc w:val="both"/>
        <w:rPr>
          <w:rFonts w:ascii="Times New Roman" w:hAnsi="Times New Roman" w:cs="Times New Roman"/>
          <w:sz w:val="24"/>
          <w:szCs w:val="24"/>
        </w:rPr>
      </w:pPr>
    </w:p>
    <w:p w14:paraId="536EC46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Aktivnost A530240  Osiguranje besplatnih zaliha menstrualnih higijenskih potrepština</w:t>
      </w:r>
    </w:p>
    <w:p w14:paraId="5B72666F">
      <w:pPr>
        <w:spacing w:after="0" w:line="360" w:lineRule="auto"/>
        <w:jc w:val="both"/>
        <w:rPr>
          <w:rFonts w:ascii="Times New Roman" w:hAnsi="Times New Roman" w:cs="Times New Roman"/>
          <w:b/>
          <w:bCs/>
          <w:sz w:val="24"/>
          <w:szCs w:val="24"/>
        </w:rPr>
      </w:pPr>
    </w:p>
    <w:p w14:paraId="44E885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 izvor 521 pomoći MZO doznačena su nam sredstva za osiguravanje zaliha menstrualnih higijenskih potrepština za učenice i projekt je realiziran 98,11% u odnosu na plan.</w:t>
      </w:r>
    </w:p>
    <w:p w14:paraId="2BB9A039">
      <w:pPr>
        <w:spacing w:line="360" w:lineRule="auto"/>
        <w:jc w:val="both"/>
        <w:rPr>
          <w:rFonts w:ascii="Times New Roman" w:hAnsi="Times New Roman" w:cs="Times New Roman"/>
          <w:b/>
          <w:bCs/>
          <w:sz w:val="24"/>
          <w:szCs w:val="24"/>
        </w:rPr>
      </w:pPr>
    </w:p>
    <w:p w14:paraId="319EDB7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PROGRAM 5306 OBILJEŽAVANJE POSTIGNUĆA UČENIKA I NASTAVNIKA</w:t>
      </w:r>
    </w:p>
    <w:p w14:paraId="7DDB33E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Aktivnost 530604 Natjecanja i smotre</w:t>
      </w:r>
    </w:p>
    <w:p w14:paraId="14634447">
      <w:pPr>
        <w:spacing w:line="360" w:lineRule="auto"/>
        <w:jc w:val="both"/>
        <w:rPr>
          <w:rFonts w:ascii="Times New Roman" w:hAnsi="Times New Roman" w:cs="Times New Roman"/>
          <w:sz w:val="24"/>
          <w:szCs w:val="24"/>
        </w:rPr>
      </w:pPr>
    </w:p>
    <w:p w14:paraId="2F37C483">
      <w:pPr>
        <w:spacing w:line="360" w:lineRule="auto"/>
        <w:jc w:val="both"/>
        <w:rPr>
          <w:rFonts w:ascii="Times New Roman" w:hAnsi="Times New Roman" w:cs="Times New Roman"/>
          <w:sz w:val="24"/>
          <w:szCs w:val="24"/>
        </w:rPr>
      </w:pPr>
      <w:r>
        <w:rPr>
          <w:rFonts w:ascii="Times New Roman" w:hAnsi="Times New Roman" w:cs="Times New Roman"/>
          <w:sz w:val="24"/>
          <w:szCs w:val="24"/>
        </w:rPr>
        <w:t>Program natjecanje i smotre u našoj školi se godinama održava županijsko natjecanje iz informatike, koje financira Županija sa izvora 111 i realizirano je 100% u odnosu na plan. Sa izvora 521 lokalna samouprava u okviru Školskog sportskog kluba financirala je prijevoz autobusom učenika na natjecanje Školskog sportskog kluba te smo taj dio realizirali 59,91%, na pojedina natjecanja učenike su vozili roditelje budući da nismo bili u mogućnosti pronaći za određene termine autobuse.</w:t>
      </w:r>
    </w:p>
    <w:p w14:paraId="46B02672">
      <w:pPr>
        <w:rPr>
          <w:rFonts w:ascii="Times New Roman" w:hAnsi="Times New Roman" w:cs="Times New Roman"/>
          <w:b/>
          <w:bCs/>
          <w:sz w:val="24"/>
          <w:szCs w:val="24"/>
        </w:rPr>
      </w:pPr>
      <w:r>
        <w:rPr>
          <w:rFonts w:ascii="Times New Roman" w:hAnsi="Times New Roman" w:cs="Times New Roman"/>
          <w:b/>
          <w:bCs/>
          <w:sz w:val="24"/>
          <w:szCs w:val="24"/>
        </w:rPr>
        <w:t>PROGRAM 5308 KAPITALNA ULAGANJA U ODGOJNO OBRAZOVNU</w:t>
      </w:r>
      <w:r>
        <w:rPr>
          <w:rFonts w:ascii="Times New Roman" w:hAnsi="Times New Roman" w:cs="Times New Roman"/>
          <w:sz w:val="24"/>
          <w:szCs w:val="24"/>
        </w:rPr>
        <w:t xml:space="preserve"> </w:t>
      </w:r>
      <w:r>
        <w:rPr>
          <w:rFonts w:ascii="Times New Roman" w:hAnsi="Times New Roman" w:cs="Times New Roman"/>
          <w:b/>
          <w:bCs/>
          <w:sz w:val="24"/>
          <w:szCs w:val="24"/>
        </w:rPr>
        <w:t>INFRASTRUKTURU</w:t>
      </w:r>
    </w:p>
    <w:p w14:paraId="5B814B4C">
      <w:pPr>
        <w:rPr>
          <w:rFonts w:ascii="Times New Roman" w:hAnsi="Times New Roman" w:cs="Times New Roman"/>
          <w:b/>
          <w:bCs/>
          <w:sz w:val="24"/>
          <w:szCs w:val="24"/>
        </w:rPr>
      </w:pPr>
      <w:r>
        <w:rPr>
          <w:rFonts w:ascii="Times New Roman" w:hAnsi="Times New Roman" w:cs="Times New Roman"/>
          <w:b/>
          <w:bCs/>
          <w:sz w:val="24"/>
          <w:szCs w:val="24"/>
        </w:rPr>
        <w:t>Kapitalni projekti K 530801 Opremanje ustanova školstva</w:t>
      </w:r>
    </w:p>
    <w:p w14:paraId="19378D21">
      <w:pPr>
        <w:rPr>
          <w:rFonts w:ascii="Times New Roman" w:hAnsi="Times New Roman" w:cs="Times New Roman"/>
          <w:b/>
          <w:bCs/>
          <w:sz w:val="24"/>
          <w:szCs w:val="24"/>
        </w:rPr>
      </w:pPr>
    </w:p>
    <w:p w14:paraId="14F267EB">
      <w:pPr>
        <w:rPr>
          <w:rFonts w:ascii="Times New Roman" w:hAnsi="Times New Roman" w:cs="Times New Roman"/>
          <w:sz w:val="24"/>
          <w:szCs w:val="24"/>
        </w:rPr>
      </w:pPr>
      <w:r>
        <w:rPr>
          <w:rFonts w:ascii="Times New Roman" w:hAnsi="Times New Roman" w:cs="Times New Roman"/>
          <w:sz w:val="24"/>
          <w:szCs w:val="24"/>
        </w:rPr>
        <w:t xml:space="preserve">Sa izvora 521 pomoći nabavljene su knjige za školsku knjižnicu i perilica suđa za područnu školu iza općinskih sredstava koja nije bila planirana Sa izvora 621 donacije nabavljene su knjige za školsku knjižnicu realizirano 27,38% </w:t>
      </w:r>
    </w:p>
    <w:p w14:paraId="61E94D8C">
      <w:pPr>
        <w:pStyle w:val="12"/>
        <w:shd w:val="clear" w:color="auto" w:fill="FFFFFF"/>
        <w:spacing w:before="0" w:beforeAutospacing="0" w:after="0" w:afterAutospacing="0"/>
        <w:jc w:val="center"/>
        <w:textAlignment w:val="baseline"/>
        <w:rPr>
          <w:rFonts w:ascii="Arial" w:hAnsi="Arial" w:cs="Arial"/>
          <w:b/>
          <w:color w:val="231F20"/>
          <w:sz w:val="22"/>
          <w:szCs w:val="22"/>
        </w:rPr>
      </w:pPr>
    </w:p>
    <w:p w14:paraId="154E7671">
      <w:pPr>
        <w:pStyle w:val="12"/>
        <w:shd w:val="clear" w:color="auto" w:fill="FFFFFF"/>
        <w:spacing w:before="0" w:beforeAutospacing="0" w:after="0" w:afterAutospacing="0"/>
        <w:jc w:val="center"/>
        <w:textAlignment w:val="baseline"/>
        <w:rPr>
          <w:b/>
          <w:color w:val="231F20"/>
        </w:rPr>
      </w:pPr>
      <w:r>
        <w:rPr>
          <w:rFonts w:ascii="Arial" w:hAnsi="Arial" w:cs="Arial"/>
          <w:b/>
          <w:color w:val="231F20"/>
          <w:sz w:val="22"/>
          <w:szCs w:val="22"/>
        </w:rPr>
        <w:t xml:space="preserve">POSEBNI IZVJEŠTAJ U GODIŠNJEM IZVJEŠTAJU O IZVRŠENJU FINANCIJSKOG </w:t>
      </w:r>
      <w:r>
        <w:rPr>
          <w:b/>
          <w:color w:val="231F20"/>
        </w:rPr>
        <w:t>PLANA</w:t>
      </w:r>
    </w:p>
    <w:p w14:paraId="7E227908">
      <w:pPr>
        <w:pStyle w:val="12"/>
        <w:shd w:val="clear" w:color="auto" w:fill="FFFFFF"/>
        <w:spacing w:before="0" w:beforeAutospacing="0" w:after="0" w:afterAutospacing="0"/>
        <w:jc w:val="both"/>
        <w:textAlignment w:val="baseline"/>
        <w:rPr>
          <w:color w:val="231F20"/>
        </w:rPr>
      </w:pPr>
    </w:p>
    <w:p w14:paraId="0B8A19A7">
      <w:pPr>
        <w:spacing w:after="0" w:line="240" w:lineRule="auto"/>
        <w:jc w:val="both"/>
        <w:rPr>
          <w:rFonts w:ascii="Times New Roman" w:hAnsi="Times New Roman" w:cs="Times New Roman"/>
          <w:b/>
          <w:color w:val="231F20"/>
          <w:sz w:val="24"/>
          <w:szCs w:val="24"/>
        </w:rPr>
      </w:pPr>
    </w:p>
    <w:p w14:paraId="4C06C4F4">
      <w:pPr>
        <w:spacing w:after="0" w:line="240" w:lineRule="auto"/>
        <w:jc w:val="both"/>
        <w:rPr>
          <w:rFonts w:ascii="Times New Roman" w:hAnsi="Times New Roman" w:cs="Times New Roman"/>
          <w:b/>
          <w:color w:val="231F20"/>
          <w:sz w:val="24"/>
          <w:szCs w:val="24"/>
        </w:rPr>
      </w:pPr>
      <w:r>
        <w:rPr>
          <w:rFonts w:ascii="Times New Roman" w:hAnsi="Times New Roman" w:cs="Times New Roman"/>
          <w:b/>
          <w:color w:val="231F20"/>
          <w:sz w:val="24"/>
          <w:szCs w:val="24"/>
        </w:rPr>
        <w:t>Izvještaj o zaduživanju na domaćem i stranom tržištu novca i kapitala</w:t>
      </w:r>
    </w:p>
    <w:p w14:paraId="3ABEA1B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-Škola se u 2024. godini nije zaduživala na domaćem  i stranom tržištu novca i kapitala te  nemamo zaduživanja po dugoročnim kreditima i zajmovima.</w:t>
      </w:r>
    </w:p>
    <w:p w14:paraId="3E4E40CB">
      <w:pPr>
        <w:spacing w:after="0" w:line="240" w:lineRule="auto"/>
        <w:jc w:val="both"/>
        <w:rPr>
          <w:rFonts w:ascii="Times New Roman" w:hAnsi="Times New Roman" w:cs="Times New Roman"/>
          <w:sz w:val="24"/>
          <w:szCs w:val="24"/>
        </w:rPr>
      </w:pPr>
    </w:p>
    <w:p w14:paraId="5B1893BF">
      <w:pPr>
        <w:pStyle w:val="12"/>
        <w:shd w:val="clear" w:color="auto" w:fill="FFFFFF"/>
        <w:spacing w:before="0" w:beforeAutospacing="0" w:after="48" w:afterAutospacing="0"/>
        <w:jc w:val="both"/>
        <w:textAlignment w:val="baseline"/>
        <w:rPr>
          <w:b/>
        </w:rPr>
      </w:pPr>
      <w:r>
        <w:rPr>
          <w:b/>
        </w:rPr>
        <w:t>Izvještaj o korištenju sredstava fondova Europske unije</w:t>
      </w:r>
    </w:p>
    <w:p w14:paraId="58E8E4B8">
      <w:pPr>
        <w:pStyle w:val="12"/>
        <w:shd w:val="clear" w:color="auto" w:fill="FFFFFF"/>
        <w:spacing w:before="0" w:beforeAutospacing="0" w:after="48" w:afterAutospacing="0"/>
        <w:jc w:val="both"/>
        <w:textAlignment w:val="baseline"/>
        <w:rPr>
          <w:shd w:val="clear" w:color="auto" w:fill="FFFFFF"/>
        </w:rPr>
      </w:pPr>
      <w:r>
        <w:rPr>
          <w:shd w:val="clear" w:color="auto" w:fill="FFFFFF"/>
        </w:rPr>
        <w:t>-Škola ne koristi sredstva fondova Europske unije.</w:t>
      </w:r>
    </w:p>
    <w:p w14:paraId="799B5AFB">
      <w:pPr>
        <w:pStyle w:val="12"/>
        <w:shd w:val="clear" w:color="auto" w:fill="FFFFFF"/>
        <w:spacing w:before="0" w:beforeAutospacing="0" w:after="48" w:afterAutospacing="0"/>
        <w:jc w:val="both"/>
        <w:textAlignment w:val="baseline"/>
        <w:rPr>
          <w:shd w:val="clear" w:color="auto" w:fill="FFFFFF"/>
        </w:rPr>
      </w:pPr>
    </w:p>
    <w:p w14:paraId="57FE3DDA">
      <w:pPr>
        <w:pStyle w:val="12"/>
        <w:shd w:val="clear" w:color="auto" w:fill="FFFFFF"/>
        <w:spacing w:before="0" w:beforeAutospacing="0" w:after="48" w:afterAutospacing="0"/>
        <w:jc w:val="both"/>
        <w:textAlignment w:val="baseline"/>
      </w:pPr>
      <w:r>
        <w:rPr>
          <w:b/>
        </w:rPr>
        <w:t>Izvještaj o danim zajmovima i potraživanjima po danim zajmovima</w:t>
      </w:r>
    </w:p>
    <w:p w14:paraId="4F97B8F9">
      <w:pPr>
        <w:pStyle w:val="12"/>
        <w:shd w:val="clear" w:color="auto" w:fill="FFFFFF"/>
        <w:spacing w:before="0" w:beforeAutospacing="0" w:after="48" w:afterAutospacing="0"/>
        <w:jc w:val="both"/>
        <w:textAlignment w:val="baseline"/>
        <w:rPr>
          <w:shd w:val="clear" w:color="auto" w:fill="FFFFFF"/>
        </w:rPr>
      </w:pPr>
      <w:r>
        <w:rPr>
          <w:shd w:val="clear" w:color="auto" w:fill="FFFFFF"/>
        </w:rPr>
        <w:t>-Škola nema dane zajmove i potraživanja.</w:t>
      </w:r>
    </w:p>
    <w:p w14:paraId="4994EA92">
      <w:pPr>
        <w:spacing w:after="0" w:line="240" w:lineRule="auto"/>
        <w:jc w:val="both"/>
        <w:rPr>
          <w:rFonts w:ascii="Times New Roman" w:hAnsi="Times New Roman" w:cs="Times New Roman"/>
          <w:b/>
          <w:sz w:val="24"/>
          <w:szCs w:val="24"/>
          <w:shd w:val="clear" w:color="auto" w:fill="FFFFFF"/>
        </w:rPr>
      </w:pPr>
    </w:p>
    <w:p w14:paraId="39483AFA">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Izvještaj o stanju potencijalnih obveza po osnovi sudskih sporova proračunskog  korisnika na kraju proračunske godine.</w:t>
      </w:r>
    </w:p>
    <w:p w14:paraId="230B676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Škola nema navedenih  potencijalnih obveza po osnovi sudskih sporova.</w:t>
      </w:r>
    </w:p>
    <w:p w14:paraId="0789D6EC">
      <w:pPr>
        <w:spacing w:after="0" w:line="240" w:lineRule="auto"/>
        <w:jc w:val="both"/>
        <w:rPr>
          <w:rFonts w:ascii="Times New Roman" w:hAnsi="Times New Roman" w:cs="Times New Roman"/>
          <w:sz w:val="24"/>
          <w:szCs w:val="24"/>
          <w:shd w:val="clear" w:color="auto" w:fill="FFFFFF"/>
        </w:rPr>
      </w:pPr>
    </w:p>
    <w:p w14:paraId="778CEDAC">
      <w:pPr>
        <w:spacing w:after="0" w:line="240" w:lineRule="auto"/>
        <w:rPr>
          <w:rFonts w:ascii="Times New Roman" w:hAnsi="Times New Roman" w:cs="Times New Roman"/>
          <w:b/>
          <w:sz w:val="24"/>
          <w:szCs w:val="24"/>
        </w:rPr>
      </w:pPr>
      <w:r>
        <w:rPr>
          <w:rFonts w:ascii="Times New Roman" w:hAnsi="Times New Roman" w:cs="Times New Roman"/>
          <w:b/>
          <w:sz w:val="24"/>
          <w:szCs w:val="24"/>
        </w:rPr>
        <w:t>Izvještaj o danim jamstvima i  plaćanjima  po protestnim jamstvima.</w:t>
      </w:r>
    </w:p>
    <w:p w14:paraId="7486D9EA">
      <w:pPr>
        <w:spacing w:after="0" w:line="240" w:lineRule="auto"/>
        <w:rPr>
          <w:rFonts w:ascii="Times New Roman" w:hAnsi="Times New Roman" w:cs="Times New Roman"/>
          <w:sz w:val="24"/>
          <w:szCs w:val="24"/>
        </w:rPr>
      </w:pPr>
      <w:r>
        <w:rPr>
          <w:rFonts w:ascii="Times New Roman" w:hAnsi="Times New Roman" w:cs="Times New Roman"/>
          <w:sz w:val="24"/>
          <w:szCs w:val="24"/>
        </w:rPr>
        <w:t>Škola nema danih jamstava po protestnim jamstvima.</w:t>
      </w:r>
    </w:p>
    <w:p w14:paraId="7462DEB7">
      <w:pPr>
        <w:spacing w:after="0" w:line="240" w:lineRule="auto"/>
        <w:rPr>
          <w:rFonts w:ascii="Times New Roman" w:hAnsi="Times New Roman" w:cs="Times New Roman"/>
          <w:sz w:val="24"/>
          <w:szCs w:val="24"/>
        </w:rPr>
      </w:pPr>
    </w:p>
    <w:p w14:paraId="1007044D">
      <w:pPr>
        <w:spacing w:after="0"/>
        <w:rPr>
          <w:rFonts w:ascii="Times New Roman" w:hAnsi="Times New Roman" w:cs="Times New Roman"/>
          <w:sz w:val="24"/>
          <w:szCs w:val="24"/>
        </w:rPr>
      </w:pPr>
      <w:r>
        <w:rPr>
          <w:rFonts w:ascii="Times New Roman" w:hAnsi="Times New Roman" w:cs="Times New Roman"/>
          <w:sz w:val="24"/>
          <w:szCs w:val="24"/>
        </w:rPr>
        <w:t>Stanje novčanih sredstava proračunskog korisnika na početku proračunske godine (01.01.2024.) iznosi 34.171,32 eura, a na kraju proračunske godine (31.12.2024.) iznosi 46.103,34 euro.</w:t>
      </w:r>
    </w:p>
    <w:p w14:paraId="59DEA4DA">
      <w:pPr>
        <w:rPr>
          <w:rFonts w:ascii="Arial" w:hAnsi="Arial" w:cs="Arial"/>
          <w:sz w:val="24"/>
          <w:szCs w:val="24"/>
        </w:rPr>
      </w:pPr>
    </w:p>
    <w:p w14:paraId="078E7C11">
      <w:pPr>
        <w:rPr>
          <w:rFonts w:ascii="Arial" w:hAnsi="Arial" w:cs="Arial"/>
          <w:sz w:val="24"/>
          <w:szCs w:val="24"/>
        </w:rPr>
      </w:pPr>
    </w:p>
    <w:p w14:paraId="24E52AE3">
      <w:pPr>
        <w:ind w:left="4248" w:firstLine="708"/>
        <w:rPr>
          <w:rFonts w:ascii="Arial" w:hAnsi="Arial" w:cs="Arial"/>
          <w:sz w:val="28"/>
          <w:szCs w:val="28"/>
        </w:rPr>
      </w:pPr>
      <w:r>
        <w:rPr>
          <w:rFonts w:ascii="Arial" w:hAnsi="Arial" w:cs="Arial"/>
          <w:sz w:val="24"/>
          <w:szCs w:val="24"/>
        </w:rPr>
        <w:t>Ravnateljica:Astrid Massari</w:t>
      </w:r>
      <w:r>
        <w:rPr>
          <w:rFonts w:ascii="Arial" w:hAnsi="Arial" w:cs="Arial"/>
          <w:sz w:val="28"/>
          <w:szCs w:val="28"/>
        </w:rPr>
        <w:tab/>
      </w:r>
      <w:r>
        <w:rPr>
          <w:rFonts w:ascii="Arial" w:hAnsi="Arial" w:cs="Arial"/>
          <w:sz w:val="28"/>
          <w:szCs w:val="28"/>
        </w:rPr>
        <w:tab/>
      </w:r>
    </w:p>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0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Arial">
    <w:panose1 w:val="020B0604020202020204"/>
    <w:charset w:val="EE"/>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9DF1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A0F7">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58B7E">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06DFD">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04912">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A1A41">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7A41E2"/>
    <w:multiLevelType w:val="multilevel"/>
    <w:tmpl w:val="097A41E2"/>
    <w:lvl w:ilvl="0" w:tentative="0">
      <w:start w:val="1"/>
      <w:numFmt w:val="decimal"/>
      <w:lvlText w:val="%1."/>
      <w:lvlJc w:val="left"/>
      <w:pPr>
        <w:ind w:left="720" w:hanging="360"/>
      </w:pPr>
    </w:lvl>
    <w:lvl w:ilvl="1" w:tentative="0">
      <w:start w:val="1"/>
      <w:numFmt w:val="decimal"/>
      <w:isLgl/>
      <w:lvlText w:val="%1.%2."/>
      <w:lvlJc w:val="left"/>
      <w:pPr>
        <w:ind w:left="720" w:hanging="360"/>
      </w:pPr>
    </w:lvl>
    <w:lvl w:ilvl="2" w:tentative="0">
      <w:start w:val="1"/>
      <w:numFmt w:val="decimal"/>
      <w:isLgl/>
      <w:lvlText w:val="%1.%2.%3."/>
      <w:lvlJc w:val="left"/>
      <w:pPr>
        <w:ind w:left="1080" w:hanging="720"/>
      </w:pPr>
    </w:lvl>
    <w:lvl w:ilvl="3" w:tentative="0">
      <w:start w:val="1"/>
      <w:numFmt w:val="decimal"/>
      <w:isLgl/>
      <w:lvlText w:val="%1.%2.%3.%4."/>
      <w:lvlJc w:val="left"/>
      <w:pPr>
        <w:ind w:left="1080" w:hanging="720"/>
      </w:pPr>
    </w:lvl>
    <w:lvl w:ilvl="4" w:tentative="0">
      <w:start w:val="1"/>
      <w:numFmt w:val="decimal"/>
      <w:isLgl/>
      <w:lvlText w:val="%1.%2.%3.%4.%5."/>
      <w:lvlJc w:val="left"/>
      <w:pPr>
        <w:ind w:left="1440" w:hanging="1080"/>
      </w:pPr>
    </w:lvl>
    <w:lvl w:ilvl="5" w:tentative="0">
      <w:start w:val="1"/>
      <w:numFmt w:val="decimal"/>
      <w:isLgl/>
      <w:lvlText w:val="%1.%2.%3.%4.%5.%6."/>
      <w:lvlJc w:val="left"/>
      <w:pPr>
        <w:ind w:left="1440" w:hanging="1080"/>
      </w:pPr>
    </w:lvl>
    <w:lvl w:ilvl="6" w:tentative="0">
      <w:start w:val="1"/>
      <w:numFmt w:val="decimal"/>
      <w:isLgl/>
      <w:lvlText w:val="%1.%2.%3.%4.%5.%6.%7."/>
      <w:lvlJc w:val="left"/>
      <w:pPr>
        <w:ind w:left="1800" w:hanging="1440"/>
      </w:pPr>
    </w:lvl>
    <w:lvl w:ilvl="7" w:tentative="0">
      <w:start w:val="1"/>
      <w:numFmt w:val="decimal"/>
      <w:isLgl/>
      <w:lvlText w:val="%1.%2.%3.%4.%5.%6.%7.%8."/>
      <w:lvlJc w:val="left"/>
      <w:pPr>
        <w:ind w:left="1800" w:hanging="1440"/>
      </w:pPr>
    </w:lvl>
    <w:lvl w:ilvl="8" w:tentative="0">
      <w:start w:val="1"/>
      <w:numFmt w:val="decimal"/>
      <w:isLgl/>
      <w:lvlText w:val="%1.%2.%3.%4.%5.%6.%7.%8.%9."/>
      <w:lvlJc w:val="left"/>
      <w:pPr>
        <w:ind w:left="2160" w:hanging="1800"/>
      </w:pPr>
    </w:lvl>
  </w:abstractNum>
  <w:abstractNum w:abstractNumId="1">
    <w:nsid w:val="2DBE0A62"/>
    <w:multiLevelType w:val="multilevel"/>
    <w:tmpl w:val="2DBE0A62"/>
    <w:lvl w:ilvl="0" w:tentative="0">
      <w:start w:val="1"/>
      <w:numFmt w:val="lowerLetter"/>
      <w:lvlText w:val="%1)"/>
      <w:lvlJc w:val="left"/>
      <w:pPr>
        <w:ind w:left="1065" w:hanging="360"/>
      </w:pPr>
    </w:lvl>
    <w:lvl w:ilvl="1" w:tentative="0">
      <w:start w:val="1"/>
      <w:numFmt w:val="lowerLetter"/>
      <w:lvlText w:val="%2."/>
      <w:lvlJc w:val="left"/>
      <w:pPr>
        <w:ind w:left="1785" w:hanging="360"/>
      </w:pPr>
    </w:lvl>
    <w:lvl w:ilvl="2" w:tentative="0">
      <w:start w:val="1"/>
      <w:numFmt w:val="lowerRoman"/>
      <w:lvlText w:val="%3."/>
      <w:lvlJc w:val="right"/>
      <w:pPr>
        <w:ind w:left="2505" w:hanging="180"/>
      </w:pPr>
    </w:lvl>
    <w:lvl w:ilvl="3" w:tentative="0">
      <w:start w:val="1"/>
      <w:numFmt w:val="decimal"/>
      <w:lvlText w:val="%4."/>
      <w:lvlJc w:val="left"/>
      <w:pPr>
        <w:ind w:left="3225" w:hanging="360"/>
      </w:pPr>
    </w:lvl>
    <w:lvl w:ilvl="4" w:tentative="0">
      <w:start w:val="1"/>
      <w:numFmt w:val="lowerLetter"/>
      <w:lvlText w:val="%5."/>
      <w:lvlJc w:val="left"/>
      <w:pPr>
        <w:ind w:left="3945" w:hanging="360"/>
      </w:pPr>
    </w:lvl>
    <w:lvl w:ilvl="5" w:tentative="0">
      <w:start w:val="1"/>
      <w:numFmt w:val="lowerRoman"/>
      <w:lvlText w:val="%6."/>
      <w:lvlJc w:val="right"/>
      <w:pPr>
        <w:ind w:left="4665" w:hanging="180"/>
      </w:pPr>
    </w:lvl>
    <w:lvl w:ilvl="6" w:tentative="0">
      <w:start w:val="1"/>
      <w:numFmt w:val="decimal"/>
      <w:lvlText w:val="%7."/>
      <w:lvlJc w:val="left"/>
      <w:pPr>
        <w:ind w:left="5385" w:hanging="360"/>
      </w:pPr>
    </w:lvl>
    <w:lvl w:ilvl="7" w:tentative="0">
      <w:start w:val="1"/>
      <w:numFmt w:val="lowerLetter"/>
      <w:lvlText w:val="%8."/>
      <w:lvlJc w:val="left"/>
      <w:pPr>
        <w:ind w:left="6105" w:hanging="360"/>
      </w:pPr>
    </w:lvl>
    <w:lvl w:ilvl="8" w:tentative="0">
      <w:start w:val="1"/>
      <w:numFmt w:val="lowerRoman"/>
      <w:lvlText w:val="%9."/>
      <w:lvlJc w:val="right"/>
      <w:pPr>
        <w:ind w:left="6825" w:hanging="180"/>
      </w:pPr>
    </w:lvl>
  </w:abstractNum>
  <w:abstractNum w:abstractNumId="2">
    <w:nsid w:val="4CC26A86"/>
    <w:multiLevelType w:val="multilevel"/>
    <w:tmpl w:val="4CC26A86"/>
    <w:lvl w:ilvl="0" w:tentative="0">
      <w:start w:val="1"/>
      <w:numFmt w:val="decimal"/>
      <w:lvlText w:val="%1."/>
      <w:lvlJc w:val="left"/>
      <w:pPr>
        <w:ind w:left="720" w:hanging="360"/>
      </w:pPr>
    </w:lvl>
    <w:lvl w:ilvl="1" w:tentative="0">
      <w:start w:val="1"/>
      <w:numFmt w:val="decimal"/>
      <w:isLgl/>
      <w:lvlText w:val="%1.%2."/>
      <w:lvlJc w:val="left"/>
      <w:pPr>
        <w:ind w:left="927" w:hanging="360"/>
      </w:pPr>
    </w:lvl>
    <w:lvl w:ilvl="2" w:tentative="0">
      <w:start w:val="1"/>
      <w:numFmt w:val="decimal"/>
      <w:isLgl/>
      <w:lvlText w:val="%1.%2.%3."/>
      <w:lvlJc w:val="left"/>
      <w:pPr>
        <w:ind w:left="1080" w:hanging="720"/>
      </w:pPr>
    </w:lvl>
    <w:lvl w:ilvl="3" w:tentative="0">
      <w:start w:val="1"/>
      <w:numFmt w:val="decimal"/>
      <w:isLgl/>
      <w:lvlText w:val="%1.%2.%3.%4."/>
      <w:lvlJc w:val="left"/>
      <w:pPr>
        <w:ind w:left="1080" w:hanging="720"/>
      </w:pPr>
    </w:lvl>
    <w:lvl w:ilvl="4" w:tentative="0">
      <w:start w:val="1"/>
      <w:numFmt w:val="decimal"/>
      <w:isLgl/>
      <w:lvlText w:val="%1.%2.%3.%4.%5."/>
      <w:lvlJc w:val="left"/>
      <w:pPr>
        <w:ind w:left="1440" w:hanging="1080"/>
      </w:pPr>
    </w:lvl>
    <w:lvl w:ilvl="5" w:tentative="0">
      <w:start w:val="1"/>
      <w:numFmt w:val="decimal"/>
      <w:isLgl/>
      <w:lvlText w:val="%1.%2.%3.%4.%5.%6."/>
      <w:lvlJc w:val="left"/>
      <w:pPr>
        <w:ind w:left="1440" w:hanging="1080"/>
      </w:pPr>
    </w:lvl>
    <w:lvl w:ilvl="6" w:tentative="0">
      <w:start w:val="1"/>
      <w:numFmt w:val="decimal"/>
      <w:isLgl/>
      <w:lvlText w:val="%1.%2.%3.%4.%5.%6.%7."/>
      <w:lvlJc w:val="left"/>
      <w:pPr>
        <w:ind w:left="1800" w:hanging="1440"/>
      </w:pPr>
    </w:lvl>
    <w:lvl w:ilvl="7" w:tentative="0">
      <w:start w:val="1"/>
      <w:numFmt w:val="decimal"/>
      <w:isLgl/>
      <w:lvlText w:val="%1.%2.%3.%4.%5.%6.%7.%8."/>
      <w:lvlJc w:val="left"/>
      <w:pPr>
        <w:ind w:left="1800" w:hanging="1440"/>
      </w:pPr>
    </w:lvl>
    <w:lvl w:ilvl="8" w:tentative="0">
      <w:start w:val="1"/>
      <w:numFmt w:val="decimal"/>
      <w:isLgl/>
      <w:lvlText w:val="%1.%2.%3.%4.%5.%6.%7.%8.%9."/>
      <w:lvlJc w:val="left"/>
      <w:pPr>
        <w:ind w:left="2160" w:hanging="1800"/>
      </w:pPr>
    </w:lvl>
  </w:abstractNum>
  <w:abstractNum w:abstractNumId="3">
    <w:nsid w:val="744678DC"/>
    <w:multiLevelType w:val="multilevel"/>
    <w:tmpl w:val="744678D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F7C"/>
    <w:rsid w:val="00013DDF"/>
    <w:rsid w:val="0004175C"/>
    <w:rsid w:val="00076B61"/>
    <w:rsid w:val="000A4819"/>
    <w:rsid w:val="00147A39"/>
    <w:rsid w:val="001731E9"/>
    <w:rsid w:val="001917A9"/>
    <w:rsid w:val="0019269E"/>
    <w:rsid w:val="001B5B4D"/>
    <w:rsid w:val="001B6276"/>
    <w:rsid w:val="001C5F0C"/>
    <w:rsid w:val="001E35A2"/>
    <w:rsid w:val="00211C90"/>
    <w:rsid w:val="00246711"/>
    <w:rsid w:val="00250BEB"/>
    <w:rsid w:val="00260815"/>
    <w:rsid w:val="002661AD"/>
    <w:rsid w:val="002966D5"/>
    <w:rsid w:val="002B1690"/>
    <w:rsid w:val="002B6440"/>
    <w:rsid w:val="002C58C1"/>
    <w:rsid w:val="002C613A"/>
    <w:rsid w:val="002D4955"/>
    <w:rsid w:val="003059C2"/>
    <w:rsid w:val="00325D4B"/>
    <w:rsid w:val="00325F7C"/>
    <w:rsid w:val="00346759"/>
    <w:rsid w:val="00360112"/>
    <w:rsid w:val="00373C84"/>
    <w:rsid w:val="00397EF1"/>
    <w:rsid w:val="003A760F"/>
    <w:rsid w:val="003B4E63"/>
    <w:rsid w:val="003C102C"/>
    <w:rsid w:val="003D6B54"/>
    <w:rsid w:val="003F11DC"/>
    <w:rsid w:val="003F4E49"/>
    <w:rsid w:val="003F56B2"/>
    <w:rsid w:val="00454866"/>
    <w:rsid w:val="00460902"/>
    <w:rsid w:val="0047673F"/>
    <w:rsid w:val="004C370D"/>
    <w:rsid w:val="004E24F3"/>
    <w:rsid w:val="005046E7"/>
    <w:rsid w:val="005049D7"/>
    <w:rsid w:val="00524272"/>
    <w:rsid w:val="005408DD"/>
    <w:rsid w:val="00560E52"/>
    <w:rsid w:val="005D3FED"/>
    <w:rsid w:val="005D4855"/>
    <w:rsid w:val="005E3875"/>
    <w:rsid w:val="005F05FD"/>
    <w:rsid w:val="00620C06"/>
    <w:rsid w:val="00620D2E"/>
    <w:rsid w:val="00625C9C"/>
    <w:rsid w:val="00626FC1"/>
    <w:rsid w:val="00633B81"/>
    <w:rsid w:val="00680243"/>
    <w:rsid w:val="0068258D"/>
    <w:rsid w:val="00687BDB"/>
    <w:rsid w:val="006B0A5F"/>
    <w:rsid w:val="006C2E95"/>
    <w:rsid w:val="006D6896"/>
    <w:rsid w:val="006F25E7"/>
    <w:rsid w:val="00711C2A"/>
    <w:rsid w:val="00750FFB"/>
    <w:rsid w:val="0076742E"/>
    <w:rsid w:val="007772D3"/>
    <w:rsid w:val="007B1937"/>
    <w:rsid w:val="007B32D7"/>
    <w:rsid w:val="007D3FF1"/>
    <w:rsid w:val="007E5C51"/>
    <w:rsid w:val="007F37B5"/>
    <w:rsid w:val="007F7C14"/>
    <w:rsid w:val="008214C1"/>
    <w:rsid w:val="00826F5C"/>
    <w:rsid w:val="00886659"/>
    <w:rsid w:val="008A1E10"/>
    <w:rsid w:val="008B15A9"/>
    <w:rsid w:val="008B5741"/>
    <w:rsid w:val="008D2E58"/>
    <w:rsid w:val="008F48BB"/>
    <w:rsid w:val="00971D2A"/>
    <w:rsid w:val="00983AC6"/>
    <w:rsid w:val="0098519B"/>
    <w:rsid w:val="00A07E45"/>
    <w:rsid w:val="00A239FF"/>
    <w:rsid w:val="00A349B8"/>
    <w:rsid w:val="00A35027"/>
    <w:rsid w:val="00A567F8"/>
    <w:rsid w:val="00A56E01"/>
    <w:rsid w:val="00A570E6"/>
    <w:rsid w:val="00A640CF"/>
    <w:rsid w:val="00AA4E80"/>
    <w:rsid w:val="00AC204C"/>
    <w:rsid w:val="00AE658E"/>
    <w:rsid w:val="00AE6F57"/>
    <w:rsid w:val="00B113BF"/>
    <w:rsid w:val="00B83FF6"/>
    <w:rsid w:val="00BB51CA"/>
    <w:rsid w:val="00BF24D1"/>
    <w:rsid w:val="00C04FD1"/>
    <w:rsid w:val="00C205BF"/>
    <w:rsid w:val="00C332D0"/>
    <w:rsid w:val="00C36326"/>
    <w:rsid w:val="00C37356"/>
    <w:rsid w:val="00C40A50"/>
    <w:rsid w:val="00C43774"/>
    <w:rsid w:val="00C54F6A"/>
    <w:rsid w:val="00C55608"/>
    <w:rsid w:val="00C63C5E"/>
    <w:rsid w:val="00CA7027"/>
    <w:rsid w:val="00CC313F"/>
    <w:rsid w:val="00CD660A"/>
    <w:rsid w:val="00CF226F"/>
    <w:rsid w:val="00CF3171"/>
    <w:rsid w:val="00D53224"/>
    <w:rsid w:val="00D73CAE"/>
    <w:rsid w:val="00DA5C2A"/>
    <w:rsid w:val="00DA650B"/>
    <w:rsid w:val="00DB320D"/>
    <w:rsid w:val="00DB32E7"/>
    <w:rsid w:val="00DC2302"/>
    <w:rsid w:val="00DF794C"/>
    <w:rsid w:val="00E2422D"/>
    <w:rsid w:val="00E43BC6"/>
    <w:rsid w:val="00E61C7A"/>
    <w:rsid w:val="00EC1C0D"/>
    <w:rsid w:val="00ED046B"/>
    <w:rsid w:val="00ED66FC"/>
    <w:rsid w:val="00EE18A7"/>
    <w:rsid w:val="00EE2D0B"/>
    <w:rsid w:val="00EF3B8E"/>
    <w:rsid w:val="00EF6C21"/>
    <w:rsid w:val="00F02141"/>
    <w:rsid w:val="00F13308"/>
    <w:rsid w:val="00F15CDA"/>
    <w:rsid w:val="00F32461"/>
    <w:rsid w:val="00F50A55"/>
    <w:rsid w:val="00F577DF"/>
    <w:rsid w:val="00F701CC"/>
    <w:rsid w:val="00F84FFD"/>
    <w:rsid w:val="00F860D6"/>
    <w:rsid w:val="00F912D1"/>
    <w:rsid w:val="0D9F7EDF"/>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hr-HR"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9"/>
    <w:semiHidden/>
    <w:unhideWhenUsed/>
    <w:uiPriority w:val="99"/>
    <w:pPr>
      <w:spacing w:after="0" w:line="240" w:lineRule="auto"/>
    </w:pPr>
    <w:rPr>
      <w:rFonts w:ascii="Tahoma" w:hAnsi="Tahoma" w:cs="Tahoma"/>
      <w:sz w:val="16"/>
      <w:szCs w:val="16"/>
    </w:rPr>
  </w:style>
  <w:style w:type="paragraph" w:styleId="5">
    <w:name w:val="footer"/>
    <w:basedOn w:val="1"/>
    <w:link w:val="11"/>
    <w:unhideWhenUsed/>
    <w:uiPriority w:val="99"/>
    <w:pPr>
      <w:tabs>
        <w:tab w:val="center" w:pos="4536"/>
        <w:tab w:val="right" w:pos="9072"/>
      </w:tabs>
      <w:spacing w:after="0" w:line="240" w:lineRule="auto"/>
    </w:pPr>
  </w:style>
  <w:style w:type="paragraph" w:styleId="6">
    <w:name w:val="header"/>
    <w:basedOn w:val="1"/>
    <w:link w:val="10"/>
    <w:unhideWhenUsed/>
    <w:uiPriority w:val="99"/>
    <w:pPr>
      <w:tabs>
        <w:tab w:val="center" w:pos="4536"/>
        <w:tab w:val="right" w:pos="9072"/>
      </w:tabs>
      <w:spacing w:after="0" w:line="240" w:lineRule="auto"/>
    </w:pPr>
  </w:style>
  <w:style w:type="table" w:styleId="7">
    <w:name w:val="Table Grid"/>
    <w:basedOn w:val="3"/>
    <w:uiPriority w:val="39"/>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character" w:customStyle="1" w:styleId="9">
    <w:name w:val="Tekst balončića Char"/>
    <w:basedOn w:val="2"/>
    <w:link w:val="4"/>
    <w:semiHidden/>
    <w:uiPriority w:val="99"/>
    <w:rPr>
      <w:rFonts w:ascii="Tahoma" w:hAnsi="Tahoma" w:cs="Tahoma"/>
      <w:sz w:val="16"/>
      <w:szCs w:val="16"/>
    </w:rPr>
  </w:style>
  <w:style w:type="character" w:customStyle="1" w:styleId="10">
    <w:name w:val="Zaglavlje Char"/>
    <w:basedOn w:val="2"/>
    <w:link w:val="6"/>
    <w:uiPriority w:val="99"/>
  </w:style>
  <w:style w:type="character" w:customStyle="1" w:styleId="11">
    <w:name w:val="Podnožje Char"/>
    <w:basedOn w:val="2"/>
    <w:link w:val="5"/>
    <w:uiPriority w:val="99"/>
  </w:style>
  <w:style w:type="paragraph" w:customStyle="1" w:styleId="12">
    <w:name w:val="box_474667"/>
    <w:basedOn w:val="1"/>
    <w:uiPriority w:val="0"/>
    <w:pPr>
      <w:spacing w:before="100" w:beforeAutospacing="1" w:after="100" w:afterAutospacing="1" w:line="240" w:lineRule="auto"/>
    </w:pPr>
    <w:rPr>
      <w:rFonts w:ascii="Times New Roman" w:hAnsi="Times New Roman" w:eastAsia="Times New Roman" w:cs="Times New Roman"/>
      <w:sz w:val="24"/>
      <w:szCs w:val="24"/>
      <w:lang w:eastAsia="hr-HR"/>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8EE71-EFB5-4D37-A853-7C811B79EA6C}">
  <ds:schemaRefs/>
</ds:datastoreItem>
</file>

<file path=docProps/app.xml><?xml version="1.0" encoding="utf-8"?>
<Properties xmlns="http://schemas.openxmlformats.org/officeDocument/2006/extended-properties" xmlns:vt="http://schemas.openxmlformats.org/officeDocument/2006/docPropsVTypes">
  <Template>Normal.dotm</Template>
  <Pages>9</Pages>
  <Words>2144</Words>
  <Characters>12221</Characters>
  <Lines>101</Lines>
  <Paragraphs>28</Paragraphs>
  <TotalTime>977</TotalTime>
  <ScaleCrop>false</ScaleCrop>
  <LinksUpToDate>false</LinksUpToDate>
  <CharactersWithSpaces>14337</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2019-03-01T12:35:00Z</dcterms:created>
  <dc:creator>Marijana Linić</dc:creator>
  <cp:lastModifiedBy>denis</cp:lastModifiedBy>
  <cp:lastPrinted>2025-03-18T09:09:00Z</cp:lastPrinted>
  <dcterms:modified xsi:type="dcterms:W3CDTF">2025-03-25T08:12:36Z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630D0339BDE14B2BA220661CA7BAFEC3_12</vt:lpwstr>
  </property>
</Properties>
</file>